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0F8" w:rsidRPr="00302DC6" w:rsidRDefault="003110F8" w:rsidP="003110F8">
      <w:pPr>
        <w:spacing w:after="0"/>
        <w:jc w:val="center"/>
        <w:rPr>
          <w:rFonts w:asciiTheme="majorBidi" w:hAnsiTheme="majorBidi" w:cstheme="majorBidi"/>
          <w:b/>
          <w:bCs/>
          <w:sz w:val="24"/>
          <w:szCs w:val="24"/>
        </w:rPr>
      </w:pPr>
      <w:r w:rsidRPr="00302DC6">
        <w:rPr>
          <w:rFonts w:asciiTheme="majorBidi" w:hAnsiTheme="majorBidi" w:cstheme="majorBidi"/>
          <w:b/>
          <w:bCs/>
          <w:sz w:val="24"/>
          <w:szCs w:val="24"/>
        </w:rPr>
        <w:t>Microsoft Word (traitement de texte)</w:t>
      </w:r>
    </w:p>
    <w:p w:rsidR="00ED6ED5" w:rsidRPr="00FB1C69" w:rsidRDefault="00ED6ED5" w:rsidP="00ED6ED5">
      <w:pPr>
        <w:pStyle w:val="Paragraphedeliste"/>
        <w:tabs>
          <w:tab w:val="left" w:pos="2368"/>
        </w:tabs>
        <w:ind w:left="0"/>
        <w:jc w:val="both"/>
        <w:rPr>
          <w:rFonts w:asciiTheme="majorBidi" w:hAnsiTheme="majorBidi" w:cstheme="majorBidi"/>
          <w:b/>
          <w:bCs/>
        </w:rPr>
      </w:pPr>
      <w:r w:rsidRPr="00FB1C69">
        <w:rPr>
          <w:rFonts w:asciiTheme="majorBidi" w:hAnsiTheme="majorBidi" w:cstheme="majorBidi"/>
          <w:b/>
          <w:bCs/>
        </w:rPr>
        <w:t>Annexe1</w:t>
      </w:r>
    </w:p>
    <w:p w:rsidR="00ED6ED5" w:rsidRPr="00FB1C69" w:rsidRDefault="00ED6ED5" w:rsidP="00ED6ED5">
      <w:pPr>
        <w:pStyle w:val="Paragraphedeliste"/>
        <w:spacing w:before="120" w:after="0"/>
        <w:ind w:left="0"/>
      </w:pPr>
      <w:r w:rsidRPr="00FB1C69">
        <w:rPr>
          <w:b/>
          <w:bCs/>
        </w:rPr>
        <w:t>Tableau N°1</w:t>
      </w:r>
      <w:r w:rsidRPr="00FB1C69">
        <w:t xml:space="preserve"> - Nurserie : </w:t>
      </w:r>
      <w:r>
        <w:t xml:space="preserve">extrait </w:t>
      </w:r>
      <w:r w:rsidRPr="00FB1C69">
        <w:t xml:space="preserve">de </w:t>
      </w:r>
      <w:r>
        <w:t xml:space="preserve">la </w:t>
      </w:r>
      <w:r w:rsidRPr="00FB1C69">
        <w:t>synthèse nuitée du 02 août 20</w:t>
      </w:r>
      <w:r>
        <w:t>1</w:t>
      </w:r>
      <w:r w:rsidRPr="00FB1C69">
        <w:t>2</w:t>
      </w:r>
    </w:p>
    <w:tbl>
      <w:tblPr>
        <w:tblStyle w:val="Grilledutableau"/>
        <w:tblpPr w:leftFromText="141" w:rightFromText="141" w:horzAnchor="margin" w:tblpY="983"/>
        <w:tblW w:w="0" w:type="auto"/>
        <w:tblLayout w:type="fixed"/>
        <w:tblLook w:val="04A0" w:firstRow="1" w:lastRow="0" w:firstColumn="1" w:lastColumn="0" w:noHBand="0" w:noVBand="1"/>
      </w:tblPr>
      <w:tblGrid>
        <w:gridCol w:w="1186"/>
        <w:gridCol w:w="1190"/>
        <w:gridCol w:w="1209"/>
        <w:gridCol w:w="13"/>
        <w:gridCol w:w="1187"/>
        <w:gridCol w:w="1187"/>
        <w:gridCol w:w="1187"/>
        <w:gridCol w:w="1171"/>
        <w:gridCol w:w="1221"/>
      </w:tblGrid>
      <w:tr w:rsidR="00ED6ED5" w:rsidRPr="00EB7C9E" w:rsidTr="00CD56AD">
        <w:tc>
          <w:tcPr>
            <w:tcW w:w="1186"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Numéro Dossier</w:t>
            </w:r>
          </w:p>
        </w:tc>
        <w:tc>
          <w:tcPr>
            <w:tcW w:w="1190"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Nom Prénom</w:t>
            </w:r>
          </w:p>
          <w:p w:rsidR="00ED6ED5" w:rsidRPr="00EB7C9E" w:rsidRDefault="00ED6ED5" w:rsidP="00CD56AD">
            <w:pPr>
              <w:pStyle w:val="Paragraphedeliste"/>
              <w:tabs>
                <w:tab w:val="left" w:pos="2368"/>
              </w:tabs>
              <w:ind w:left="0"/>
              <w:jc w:val="center"/>
              <w:rPr>
                <w:rFonts w:cstheme="minorHAnsi"/>
                <w:sz w:val="20"/>
                <w:szCs w:val="20"/>
              </w:rPr>
            </w:pPr>
          </w:p>
        </w:tc>
        <w:tc>
          <w:tcPr>
            <w:tcW w:w="1209"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 xml:space="preserve">Date naissance </w:t>
            </w:r>
          </w:p>
        </w:tc>
        <w:tc>
          <w:tcPr>
            <w:tcW w:w="1200" w:type="dxa"/>
            <w:gridSpan w:val="2"/>
          </w:tcPr>
          <w:p w:rsidR="00ED6ED5"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 xml:space="preserve">Poids (gr) </w:t>
            </w:r>
          </w:p>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naissance</w:t>
            </w: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Jour de soin</w:t>
            </w: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Poids (gr)</w:t>
            </w:r>
          </w:p>
        </w:tc>
        <w:tc>
          <w:tcPr>
            <w:tcW w:w="117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Pression du sang (mmHg)</w:t>
            </w:r>
          </w:p>
        </w:tc>
        <w:tc>
          <w:tcPr>
            <w:tcW w:w="1221" w:type="dxa"/>
          </w:tcPr>
          <w:p w:rsidR="00ED6ED5" w:rsidRPr="00EB7C9E" w:rsidRDefault="00ED6ED5" w:rsidP="00CD56AD">
            <w:pPr>
              <w:pStyle w:val="Paragraphedeliste"/>
              <w:tabs>
                <w:tab w:val="left" w:pos="2368"/>
              </w:tabs>
              <w:ind w:left="0"/>
              <w:jc w:val="center"/>
              <w:rPr>
                <w:rFonts w:cstheme="minorHAnsi"/>
                <w:sz w:val="20"/>
                <w:szCs w:val="20"/>
              </w:rPr>
            </w:pPr>
          </w:p>
        </w:tc>
      </w:tr>
      <w:tr w:rsidR="00ED6ED5" w:rsidRPr="00EB7C9E" w:rsidTr="00CD56AD">
        <w:tc>
          <w:tcPr>
            <w:tcW w:w="1186" w:type="dxa"/>
          </w:tcPr>
          <w:p w:rsidR="00ED6ED5" w:rsidRPr="00EB7C9E" w:rsidRDefault="00ED6ED5" w:rsidP="00CD56AD">
            <w:pPr>
              <w:pStyle w:val="Paragraphedeliste"/>
              <w:tabs>
                <w:tab w:val="left" w:pos="2368"/>
              </w:tabs>
              <w:ind w:left="0"/>
              <w:jc w:val="center"/>
              <w:rPr>
                <w:rFonts w:cstheme="minorHAnsi"/>
                <w:sz w:val="20"/>
                <w:szCs w:val="20"/>
              </w:rPr>
            </w:pPr>
          </w:p>
        </w:tc>
        <w:tc>
          <w:tcPr>
            <w:tcW w:w="1190" w:type="dxa"/>
          </w:tcPr>
          <w:p w:rsidR="00ED6ED5" w:rsidRPr="00EB7C9E" w:rsidRDefault="00ED6ED5" w:rsidP="00CD56AD">
            <w:pPr>
              <w:pStyle w:val="Paragraphedeliste"/>
              <w:tabs>
                <w:tab w:val="left" w:pos="2368"/>
              </w:tabs>
              <w:ind w:left="0"/>
              <w:jc w:val="center"/>
              <w:rPr>
                <w:rFonts w:cstheme="minorHAnsi"/>
                <w:sz w:val="20"/>
                <w:szCs w:val="20"/>
              </w:rPr>
            </w:pPr>
          </w:p>
        </w:tc>
        <w:tc>
          <w:tcPr>
            <w:tcW w:w="1209" w:type="dxa"/>
          </w:tcPr>
          <w:p w:rsidR="00ED6ED5" w:rsidRPr="00EB7C9E" w:rsidRDefault="00ED6ED5" w:rsidP="00CD56AD">
            <w:pPr>
              <w:pStyle w:val="Paragraphedeliste"/>
              <w:tabs>
                <w:tab w:val="left" w:pos="2368"/>
              </w:tabs>
              <w:ind w:left="0"/>
              <w:jc w:val="center"/>
              <w:rPr>
                <w:rFonts w:cstheme="minorHAnsi"/>
                <w:sz w:val="20"/>
                <w:szCs w:val="20"/>
              </w:rPr>
            </w:pPr>
          </w:p>
        </w:tc>
        <w:tc>
          <w:tcPr>
            <w:tcW w:w="1200" w:type="dxa"/>
            <w:gridSpan w:val="2"/>
          </w:tcPr>
          <w:p w:rsidR="00ED6ED5" w:rsidRPr="00EB7C9E" w:rsidRDefault="00ED6ED5" w:rsidP="00CD56AD">
            <w:pPr>
              <w:pStyle w:val="Paragraphedeliste"/>
              <w:tabs>
                <w:tab w:val="left" w:pos="2368"/>
              </w:tabs>
              <w:ind w:left="0"/>
              <w:jc w:val="center"/>
              <w:rPr>
                <w:rFonts w:cstheme="minorHAnsi"/>
                <w:sz w:val="20"/>
                <w:szCs w:val="20"/>
              </w:rPr>
            </w:pP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p>
        </w:tc>
        <w:tc>
          <w:tcPr>
            <w:tcW w:w="117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systolique</w:t>
            </w:r>
          </w:p>
        </w:tc>
        <w:tc>
          <w:tcPr>
            <w:tcW w:w="122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Diastolique</w:t>
            </w:r>
          </w:p>
        </w:tc>
      </w:tr>
      <w:tr w:rsidR="00ED6ED5" w:rsidRPr="00EB7C9E" w:rsidTr="00CD56AD">
        <w:tc>
          <w:tcPr>
            <w:tcW w:w="1186" w:type="dxa"/>
            <w:vAlign w:val="center"/>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124</w:t>
            </w:r>
            <w:r>
              <w:rPr>
                <w:rFonts w:cstheme="minorHAnsi"/>
                <w:sz w:val="20"/>
                <w:szCs w:val="20"/>
              </w:rPr>
              <w:t>8</w:t>
            </w:r>
          </w:p>
        </w:tc>
        <w:tc>
          <w:tcPr>
            <w:tcW w:w="1190" w:type="dxa"/>
            <w:vAlign w:val="center"/>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Bellout Naanaa</w:t>
            </w:r>
          </w:p>
        </w:tc>
        <w:tc>
          <w:tcPr>
            <w:tcW w:w="1222" w:type="dxa"/>
            <w:gridSpan w:val="2"/>
            <w:vAlign w:val="center"/>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02.08.</w:t>
            </w:r>
            <w:r>
              <w:rPr>
                <w:rFonts w:cstheme="minorHAnsi"/>
                <w:sz w:val="20"/>
                <w:szCs w:val="20"/>
              </w:rPr>
              <w:t>1</w:t>
            </w:r>
            <w:r w:rsidRPr="00EB7C9E">
              <w:rPr>
                <w:rFonts w:cstheme="minorHAnsi"/>
                <w:sz w:val="20"/>
                <w:szCs w:val="20"/>
              </w:rPr>
              <w:t>2</w:t>
            </w: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3200</w:t>
            </w: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1</w:t>
            </w: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3150</w:t>
            </w:r>
          </w:p>
        </w:tc>
        <w:tc>
          <w:tcPr>
            <w:tcW w:w="117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75</w:t>
            </w:r>
          </w:p>
        </w:tc>
        <w:tc>
          <w:tcPr>
            <w:tcW w:w="122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50</w:t>
            </w:r>
          </w:p>
        </w:tc>
      </w:tr>
      <w:tr w:rsidR="00ED6ED5" w:rsidRPr="00EB7C9E" w:rsidTr="00CD56AD">
        <w:tc>
          <w:tcPr>
            <w:tcW w:w="1186" w:type="dxa"/>
          </w:tcPr>
          <w:p w:rsidR="00ED6ED5" w:rsidRPr="00EB7C9E" w:rsidRDefault="00ED6ED5" w:rsidP="00CD56AD">
            <w:pPr>
              <w:pStyle w:val="Paragraphedeliste"/>
              <w:tabs>
                <w:tab w:val="left" w:pos="2368"/>
              </w:tabs>
              <w:ind w:left="0"/>
              <w:jc w:val="center"/>
              <w:rPr>
                <w:rFonts w:cstheme="minorHAnsi"/>
                <w:sz w:val="20"/>
                <w:szCs w:val="20"/>
              </w:rPr>
            </w:pPr>
          </w:p>
        </w:tc>
        <w:tc>
          <w:tcPr>
            <w:tcW w:w="1190" w:type="dxa"/>
          </w:tcPr>
          <w:p w:rsidR="00ED6ED5" w:rsidRPr="00EB7C9E" w:rsidRDefault="00ED6ED5" w:rsidP="00CD56AD">
            <w:pPr>
              <w:pStyle w:val="Paragraphedeliste"/>
              <w:tabs>
                <w:tab w:val="left" w:pos="2368"/>
              </w:tabs>
              <w:ind w:left="0"/>
              <w:jc w:val="center"/>
              <w:rPr>
                <w:rFonts w:cstheme="minorHAnsi"/>
                <w:sz w:val="20"/>
                <w:szCs w:val="20"/>
              </w:rPr>
            </w:pPr>
          </w:p>
        </w:tc>
        <w:tc>
          <w:tcPr>
            <w:tcW w:w="1222" w:type="dxa"/>
            <w:gridSpan w:val="2"/>
          </w:tcPr>
          <w:p w:rsidR="00ED6ED5" w:rsidRPr="00EB7C9E" w:rsidRDefault="00ED6ED5" w:rsidP="00CD56AD">
            <w:pPr>
              <w:pStyle w:val="Paragraphedeliste"/>
              <w:tabs>
                <w:tab w:val="left" w:pos="2368"/>
              </w:tabs>
              <w:ind w:left="0"/>
              <w:jc w:val="center"/>
              <w:rPr>
                <w:rFonts w:cstheme="minorHAnsi"/>
                <w:sz w:val="20"/>
                <w:szCs w:val="20"/>
              </w:rPr>
            </w:pP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2</w:t>
            </w: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3140</w:t>
            </w:r>
          </w:p>
        </w:tc>
        <w:tc>
          <w:tcPr>
            <w:tcW w:w="117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80</w:t>
            </w:r>
          </w:p>
        </w:tc>
        <w:tc>
          <w:tcPr>
            <w:tcW w:w="122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50</w:t>
            </w:r>
          </w:p>
        </w:tc>
      </w:tr>
      <w:tr w:rsidR="00ED6ED5" w:rsidRPr="00EB7C9E" w:rsidTr="00CD56AD">
        <w:tc>
          <w:tcPr>
            <w:tcW w:w="1186" w:type="dxa"/>
          </w:tcPr>
          <w:p w:rsidR="00ED6ED5" w:rsidRPr="00EB7C9E" w:rsidRDefault="00ED6ED5" w:rsidP="00CD56AD">
            <w:pPr>
              <w:pStyle w:val="Paragraphedeliste"/>
              <w:tabs>
                <w:tab w:val="left" w:pos="2368"/>
              </w:tabs>
              <w:ind w:left="0"/>
              <w:jc w:val="center"/>
              <w:rPr>
                <w:rFonts w:cstheme="minorHAnsi"/>
                <w:sz w:val="20"/>
                <w:szCs w:val="20"/>
              </w:rPr>
            </w:pPr>
          </w:p>
        </w:tc>
        <w:tc>
          <w:tcPr>
            <w:tcW w:w="1190" w:type="dxa"/>
          </w:tcPr>
          <w:p w:rsidR="00ED6ED5" w:rsidRPr="00EB7C9E" w:rsidRDefault="00ED6ED5" w:rsidP="00CD56AD">
            <w:pPr>
              <w:pStyle w:val="Paragraphedeliste"/>
              <w:tabs>
                <w:tab w:val="left" w:pos="2368"/>
              </w:tabs>
              <w:ind w:left="0"/>
              <w:jc w:val="center"/>
              <w:rPr>
                <w:rFonts w:cstheme="minorHAnsi"/>
                <w:sz w:val="20"/>
                <w:szCs w:val="20"/>
              </w:rPr>
            </w:pPr>
          </w:p>
        </w:tc>
        <w:tc>
          <w:tcPr>
            <w:tcW w:w="1222" w:type="dxa"/>
            <w:gridSpan w:val="2"/>
          </w:tcPr>
          <w:p w:rsidR="00ED6ED5" w:rsidRPr="00EB7C9E" w:rsidRDefault="00ED6ED5" w:rsidP="00CD56AD">
            <w:pPr>
              <w:pStyle w:val="Paragraphedeliste"/>
              <w:tabs>
                <w:tab w:val="left" w:pos="2368"/>
              </w:tabs>
              <w:ind w:left="0"/>
              <w:jc w:val="center"/>
              <w:rPr>
                <w:rFonts w:cstheme="minorHAnsi"/>
                <w:sz w:val="20"/>
                <w:szCs w:val="20"/>
              </w:rPr>
            </w:pP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3</w:t>
            </w: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3130</w:t>
            </w:r>
          </w:p>
        </w:tc>
        <w:tc>
          <w:tcPr>
            <w:tcW w:w="117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75</w:t>
            </w:r>
          </w:p>
        </w:tc>
        <w:tc>
          <w:tcPr>
            <w:tcW w:w="122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55</w:t>
            </w:r>
          </w:p>
        </w:tc>
      </w:tr>
      <w:tr w:rsidR="00ED6ED5" w:rsidRPr="00EB7C9E" w:rsidTr="00CD56AD">
        <w:tc>
          <w:tcPr>
            <w:tcW w:w="1186" w:type="dxa"/>
          </w:tcPr>
          <w:p w:rsidR="00ED6ED5" w:rsidRPr="00EB7C9E" w:rsidRDefault="00ED6ED5" w:rsidP="00CD56AD">
            <w:pPr>
              <w:pStyle w:val="Paragraphedeliste"/>
              <w:tabs>
                <w:tab w:val="left" w:pos="2368"/>
              </w:tabs>
              <w:ind w:left="0"/>
              <w:jc w:val="center"/>
              <w:rPr>
                <w:rFonts w:cstheme="minorHAnsi"/>
                <w:sz w:val="20"/>
                <w:szCs w:val="20"/>
              </w:rPr>
            </w:pPr>
          </w:p>
        </w:tc>
        <w:tc>
          <w:tcPr>
            <w:tcW w:w="1190" w:type="dxa"/>
          </w:tcPr>
          <w:p w:rsidR="00ED6ED5" w:rsidRPr="00EB7C9E" w:rsidRDefault="00ED6ED5" w:rsidP="00CD56AD">
            <w:pPr>
              <w:pStyle w:val="Paragraphedeliste"/>
              <w:tabs>
                <w:tab w:val="left" w:pos="2368"/>
              </w:tabs>
              <w:ind w:left="0"/>
              <w:jc w:val="center"/>
              <w:rPr>
                <w:rFonts w:cstheme="minorHAnsi"/>
                <w:sz w:val="20"/>
                <w:szCs w:val="20"/>
              </w:rPr>
            </w:pPr>
          </w:p>
        </w:tc>
        <w:tc>
          <w:tcPr>
            <w:tcW w:w="1222" w:type="dxa"/>
            <w:gridSpan w:val="2"/>
          </w:tcPr>
          <w:p w:rsidR="00ED6ED5" w:rsidRPr="00EB7C9E" w:rsidRDefault="00ED6ED5" w:rsidP="00CD56AD">
            <w:pPr>
              <w:pStyle w:val="Paragraphedeliste"/>
              <w:tabs>
                <w:tab w:val="left" w:pos="2368"/>
              </w:tabs>
              <w:ind w:left="0"/>
              <w:jc w:val="center"/>
              <w:rPr>
                <w:rFonts w:cstheme="minorHAnsi"/>
                <w:sz w:val="20"/>
                <w:szCs w:val="20"/>
              </w:rPr>
            </w:pP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4</w:t>
            </w: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3150</w:t>
            </w:r>
          </w:p>
        </w:tc>
        <w:tc>
          <w:tcPr>
            <w:tcW w:w="117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75</w:t>
            </w:r>
          </w:p>
        </w:tc>
        <w:tc>
          <w:tcPr>
            <w:tcW w:w="122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50</w:t>
            </w:r>
          </w:p>
        </w:tc>
      </w:tr>
      <w:tr w:rsidR="00ED6ED5" w:rsidRPr="00EB7C9E" w:rsidTr="00CD56AD">
        <w:tc>
          <w:tcPr>
            <w:tcW w:w="1186" w:type="dxa"/>
          </w:tcPr>
          <w:p w:rsidR="00ED6ED5" w:rsidRPr="00EB7C9E" w:rsidRDefault="00ED6ED5" w:rsidP="00CD56AD">
            <w:pPr>
              <w:pStyle w:val="Paragraphedeliste"/>
              <w:tabs>
                <w:tab w:val="left" w:pos="2368"/>
              </w:tabs>
              <w:ind w:left="0"/>
              <w:jc w:val="center"/>
              <w:rPr>
                <w:rFonts w:cstheme="minorHAnsi"/>
                <w:sz w:val="20"/>
                <w:szCs w:val="20"/>
              </w:rPr>
            </w:pPr>
          </w:p>
        </w:tc>
        <w:tc>
          <w:tcPr>
            <w:tcW w:w="1190" w:type="dxa"/>
          </w:tcPr>
          <w:p w:rsidR="00ED6ED5" w:rsidRPr="00EB7C9E" w:rsidRDefault="00ED6ED5" w:rsidP="00CD56AD">
            <w:pPr>
              <w:pStyle w:val="Paragraphedeliste"/>
              <w:tabs>
                <w:tab w:val="left" w:pos="2368"/>
              </w:tabs>
              <w:ind w:left="0"/>
              <w:jc w:val="center"/>
              <w:rPr>
                <w:rFonts w:cstheme="minorHAnsi"/>
                <w:sz w:val="20"/>
                <w:szCs w:val="20"/>
              </w:rPr>
            </w:pPr>
          </w:p>
        </w:tc>
        <w:tc>
          <w:tcPr>
            <w:tcW w:w="1222" w:type="dxa"/>
            <w:gridSpan w:val="2"/>
          </w:tcPr>
          <w:p w:rsidR="00ED6ED5" w:rsidRPr="00EB7C9E" w:rsidRDefault="00ED6ED5" w:rsidP="00CD56AD">
            <w:pPr>
              <w:pStyle w:val="Paragraphedeliste"/>
              <w:tabs>
                <w:tab w:val="left" w:pos="2368"/>
              </w:tabs>
              <w:ind w:left="0"/>
              <w:jc w:val="center"/>
              <w:rPr>
                <w:rFonts w:cstheme="minorHAnsi"/>
                <w:sz w:val="20"/>
                <w:szCs w:val="20"/>
              </w:rPr>
            </w:pP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5</w:t>
            </w: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3170</w:t>
            </w:r>
          </w:p>
        </w:tc>
        <w:tc>
          <w:tcPr>
            <w:tcW w:w="117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80</w:t>
            </w:r>
          </w:p>
        </w:tc>
        <w:tc>
          <w:tcPr>
            <w:tcW w:w="122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55</w:t>
            </w:r>
          </w:p>
        </w:tc>
      </w:tr>
      <w:tr w:rsidR="00ED6ED5" w:rsidRPr="00EB7C9E" w:rsidTr="00CD56AD">
        <w:tc>
          <w:tcPr>
            <w:tcW w:w="1186" w:type="dxa"/>
            <w:vAlign w:val="center"/>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12</w:t>
            </w:r>
            <w:r>
              <w:rPr>
                <w:rFonts w:cstheme="minorHAnsi"/>
                <w:sz w:val="20"/>
                <w:szCs w:val="20"/>
              </w:rPr>
              <w:t>61</w:t>
            </w:r>
          </w:p>
        </w:tc>
        <w:tc>
          <w:tcPr>
            <w:tcW w:w="1190" w:type="dxa"/>
            <w:vAlign w:val="center"/>
          </w:tcPr>
          <w:p w:rsidR="00ED6ED5" w:rsidRPr="00EB7C9E" w:rsidRDefault="00ED6ED5" w:rsidP="00CD56AD">
            <w:pPr>
              <w:pStyle w:val="Paragraphedeliste"/>
              <w:tabs>
                <w:tab w:val="left" w:pos="2368"/>
              </w:tabs>
              <w:ind w:left="0"/>
              <w:jc w:val="center"/>
              <w:rPr>
                <w:rFonts w:cstheme="minorHAnsi"/>
                <w:sz w:val="20"/>
                <w:szCs w:val="20"/>
              </w:rPr>
            </w:pPr>
            <w:proofErr w:type="spellStart"/>
            <w:r w:rsidRPr="00EB7C9E">
              <w:rPr>
                <w:rFonts w:cstheme="minorHAnsi"/>
                <w:sz w:val="20"/>
                <w:szCs w:val="20"/>
              </w:rPr>
              <w:t>Mechmèche</w:t>
            </w:r>
            <w:proofErr w:type="spellEnd"/>
            <w:r w:rsidRPr="00EB7C9E">
              <w:rPr>
                <w:rFonts w:cstheme="minorHAnsi"/>
                <w:sz w:val="20"/>
                <w:szCs w:val="20"/>
              </w:rPr>
              <w:t xml:space="preserve"> </w:t>
            </w:r>
            <w:proofErr w:type="spellStart"/>
            <w:r w:rsidRPr="00EB7C9E">
              <w:rPr>
                <w:rFonts w:cstheme="minorHAnsi"/>
                <w:sz w:val="20"/>
                <w:szCs w:val="20"/>
              </w:rPr>
              <w:t>Teffaha</w:t>
            </w:r>
            <w:proofErr w:type="spellEnd"/>
          </w:p>
        </w:tc>
        <w:tc>
          <w:tcPr>
            <w:tcW w:w="1222" w:type="dxa"/>
            <w:gridSpan w:val="2"/>
            <w:vAlign w:val="center"/>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03.08.</w:t>
            </w:r>
            <w:r>
              <w:rPr>
                <w:rFonts w:cstheme="minorHAnsi"/>
                <w:sz w:val="20"/>
                <w:szCs w:val="20"/>
              </w:rPr>
              <w:t>1</w:t>
            </w:r>
            <w:r w:rsidRPr="00EB7C9E">
              <w:rPr>
                <w:rFonts w:cstheme="minorHAnsi"/>
                <w:sz w:val="20"/>
                <w:szCs w:val="20"/>
              </w:rPr>
              <w:t>2</w:t>
            </w: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2800</w:t>
            </w: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1</w:t>
            </w: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2700</w:t>
            </w:r>
          </w:p>
        </w:tc>
        <w:tc>
          <w:tcPr>
            <w:tcW w:w="117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70</w:t>
            </w:r>
          </w:p>
        </w:tc>
        <w:tc>
          <w:tcPr>
            <w:tcW w:w="122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45</w:t>
            </w:r>
          </w:p>
        </w:tc>
      </w:tr>
      <w:tr w:rsidR="00ED6ED5" w:rsidRPr="00EB7C9E" w:rsidTr="00CD56AD">
        <w:tc>
          <w:tcPr>
            <w:tcW w:w="1186" w:type="dxa"/>
          </w:tcPr>
          <w:p w:rsidR="00ED6ED5" w:rsidRPr="00EB7C9E" w:rsidRDefault="00ED6ED5" w:rsidP="00CD56AD">
            <w:pPr>
              <w:pStyle w:val="Paragraphedeliste"/>
              <w:tabs>
                <w:tab w:val="left" w:pos="2368"/>
              </w:tabs>
              <w:ind w:left="0"/>
              <w:jc w:val="center"/>
              <w:rPr>
                <w:rFonts w:cstheme="minorHAnsi"/>
                <w:sz w:val="20"/>
                <w:szCs w:val="20"/>
              </w:rPr>
            </w:pPr>
          </w:p>
        </w:tc>
        <w:tc>
          <w:tcPr>
            <w:tcW w:w="1190" w:type="dxa"/>
          </w:tcPr>
          <w:p w:rsidR="00ED6ED5" w:rsidRPr="00EB7C9E" w:rsidRDefault="00ED6ED5" w:rsidP="00CD56AD">
            <w:pPr>
              <w:pStyle w:val="Paragraphedeliste"/>
              <w:tabs>
                <w:tab w:val="left" w:pos="2368"/>
              </w:tabs>
              <w:ind w:left="0"/>
              <w:jc w:val="center"/>
              <w:rPr>
                <w:rFonts w:cstheme="minorHAnsi"/>
                <w:sz w:val="20"/>
                <w:szCs w:val="20"/>
              </w:rPr>
            </w:pPr>
          </w:p>
        </w:tc>
        <w:tc>
          <w:tcPr>
            <w:tcW w:w="1222" w:type="dxa"/>
            <w:gridSpan w:val="2"/>
          </w:tcPr>
          <w:p w:rsidR="00ED6ED5" w:rsidRPr="00EB7C9E" w:rsidRDefault="00ED6ED5" w:rsidP="00CD56AD">
            <w:pPr>
              <w:pStyle w:val="Paragraphedeliste"/>
              <w:tabs>
                <w:tab w:val="left" w:pos="2368"/>
              </w:tabs>
              <w:ind w:left="0"/>
              <w:jc w:val="center"/>
              <w:rPr>
                <w:rFonts w:cstheme="minorHAnsi"/>
                <w:sz w:val="20"/>
                <w:szCs w:val="20"/>
              </w:rPr>
            </w:pP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2</w:t>
            </w: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2650</w:t>
            </w:r>
          </w:p>
        </w:tc>
        <w:tc>
          <w:tcPr>
            <w:tcW w:w="117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70</w:t>
            </w:r>
          </w:p>
        </w:tc>
        <w:tc>
          <w:tcPr>
            <w:tcW w:w="122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45</w:t>
            </w:r>
          </w:p>
        </w:tc>
      </w:tr>
      <w:tr w:rsidR="00ED6ED5" w:rsidRPr="00EB7C9E" w:rsidTr="00CD56AD">
        <w:tc>
          <w:tcPr>
            <w:tcW w:w="1186" w:type="dxa"/>
          </w:tcPr>
          <w:p w:rsidR="00ED6ED5" w:rsidRPr="00EB7C9E" w:rsidRDefault="00ED6ED5" w:rsidP="00CD56AD">
            <w:pPr>
              <w:pStyle w:val="Paragraphedeliste"/>
              <w:tabs>
                <w:tab w:val="left" w:pos="2368"/>
              </w:tabs>
              <w:ind w:left="0"/>
              <w:jc w:val="center"/>
              <w:rPr>
                <w:rFonts w:cstheme="minorHAnsi"/>
                <w:sz w:val="20"/>
                <w:szCs w:val="20"/>
              </w:rPr>
            </w:pPr>
          </w:p>
        </w:tc>
        <w:tc>
          <w:tcPr>
            <w:tcW w:w="1190" w:type="dxa"/>
          </w:tcPr>
          <w:p w:rsidR="00ED6ED5" w:rsidRPr="00EB7C9E" w:rsidRDefault="00ED6ED5" w:rsidP="00CD56AD">
            <w:pPr>
              <w:pStyle w:val="Paragraphedeliste"/>
              <w:tabs>
                <w:tab w:val="left" w:pos="2368"/>
              </w:tabs>
              <w:ind w:left="0"/>
              <w:jc w:val="center"/>
              <w:rPr>
                <w:rFonts w:cstheme="minorHAnsi"/>
                <w:sz w:val="20"/>
                <w:szCs w:val="20"/>
              </w:rPr>
            </w:pPr>
          </w:p>
        </w:tc>
        <w:tc>
          <w:tcPr>
            <w:tcW w:w="1222" w:type="dxa"/>
            <w:gridSpan w:val="2"/>
          </w:tcPr>
          <w:p w:rsidR="00ED6ED5" w:rsidRPr="00EB7C9E" w:rsidRDefault="00ED6ED5" w:rsidP="00CD56AD">
            <w:pPr>
              <w:pStyle w:val="Paragraphedeliste"/>
              <w:tabs>
                <w:tab w:val="left" w:pos="2368"/>
              </w:tabs>
              <w:ind w:left="0"/>
              <w:jc w:val="center"/>
              <w:rPr>
                <w:rFonts w:cstheme="minorHAnsi"/>
                <w:sz w:val="20"/>
                <w:szCs w:val="20"/>
              </w:rPr>
            </w:pP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3</w:t>
            </w: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2700</w:t>
            </w:r>
          </w:p>
        </w:tc>
        <w:tc>
          <w:tcPr>
            <w:tcW w:w="117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75</w:t>
            </w:r>
          </w:p>
        </w:tc>
        <w:tc>
          <w:tcPr>
            <w:tcW w:w="122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50</w:t>
            </w:r>
          </w:p>
        </w:tc>
      </w:tr>
      <w:tr w:rsidR="00ED6ED5" w:rsidRPr="00EB7C9E" w:rsidTr="00CD56AD">
        <w:tc>
          <w:tcPr>
            <w:tcW w:w="1186" w:type="dxa"/>
          </w:tcPr>
          <w:p w:rsidR="00ED6ED5" w:rsidRPr="00EB7C9E" w:rsidRDefault="00ED6ED5" w:rsidP="00CD56AD">
            <w:pPr>
              <w:pStyle w:val="Paragraphedeliste"/>
              <w:tabs>
                <w:tab w:val="left" w:pos="2368"/>
              </w:tabs>
              <w:ind w:left="0"/>
              <w:jc w:val="center"/>
              <w:rPr>
                <w:rFonts w:cstheme="minorHAnsi"/>
                <w:sz w:val="20"/>
                <w:szCs w:val="20"/>
              </w:rPr>
            </w:pPr>
          </w:p>
        </w:tc>
        <w:tc>
          <w:tcPr>
            <w:tcW w:w="1190" w:type="dxa"/>
          </w:tcPr>
          <w:p w:rsidR="00ED6ED5" w:rsidRPr="00EB7C9E" w:rsidRDefault="00ED6ED5" w:rsidP="00CD56AD">
            <w:pPr>
              <w:pStyle w:val="Paragraphedeliste"/>
              <w:tabs>
                <w:tab w:val="left" w:pos="2368"/>
              </w:tabs>
              <w:ind w:left="0"/>
              <w:jc w:val="center"/>
              <w:rPr>
                <w:rFonts w:cstheme="minorHAnsi"/>
                <w:sz w:val="20"/>
                <w:szCs w:val="20"/>
              </w:rPr>
            </w:pPr>
          </w:p>
        </w:tc>
        <w:tc>
          <w:tcPr>
            <w:tcW w:w="1222" w:type="dxa"/>
            <w:gridSpan w:val="2"/>
          </w:tcPr>
          <w:p w:rsidR="00ED6ED5" w:rsidRPr="00EB7C9E" w:rsidRDefault="00ED6ED5" w:rsidP="00CD56AD">
            <w:pPr>
              <w:pStyle w:val="Paragraphedeliste"/>
              <w:tabs>
                <w:tab w:val="left" w:pos="2368"/>
              </w:tabs>
              <w:ind w:left="0"/>
              <w:jc w:val="center"/>
              <w:rPr>
                <w:rFonts w:cstheme="minorHAnsi"/>
                <w:sz w:val="20"/>
                <w:szCs w:val="20"/>
              </w:rPr>
            </w:pP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4</w:t>
            </w: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2800</w:t>
            </w:r>
          </w:p>
        </w:tc>
        <w:tc>
          <w:tcPr>
            <w:tcW w:w="117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75</w:t>
            </w:r>
          </w:p>
        </w:tc>
        <w:tc>
          <w:tcPr>
            <w:tcW w:w="122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50</w:t>
            </w:r>
          </w:p>
        </w:tc>
      </w:tr>
      <w:tr w:rsidR="00ED6ED5" w:rsidRPr="00EB7C9E" w:rsidTr="00CD56AD">
        <w:tc>
          <w:tcPr>
            <w:tcW w:w="1186" w:type="dxa"/>
          </w:tcPr>
          <w:p w:rsidR="00ED6ED5" w:rsidRPr="00EB7C9E" w:rsidRDefault="00ED6ED5" w:rsidP="00CD56AD">
            <w:pPr>
              <w:pStyle w:val="Paragraphedeliste"/>
              <w:tabs>
                <w:tab w:val="left" w:pos="2368"/>
              </w:tabs>
              <w:ind w:left="0"/>
              <w:jc w:val="center"/>
              <w:rPr>
                <w:rFonts w:cstheme="minorHAnsi"/>
                <w:sz w:val="20"/>
                <w:szCs w:val="20"/>
              </w:rPr>
            </w:pPr>
          </w:p>
        </w:tc>
        <w:tc>
          <w:tcPr>
            <w:tcW w:w="1190" w:type="dxa"/>
          </w:tcPr>
          <w:p w:rsidR="00ED6ED5" w:rsidRPr="00EB7C9E" w:rsidRDefault="00ED6ED5" w:rsidP="00CD56AD">
            <w:pPr>
              <w:pStyle w:val="Paragraphedeliste"/>
              <w:tabs>
                <w:tab w:val="left" w:pos="2368"/>
              </w:tabs>
              <w:ind w:left="0"/>
              <w:jc w:val="center"/>
              <w:rPr>
                <w:rFonts w:cstheme="minorHAnsi"/>
                <w:sz w:val="20"/>
                <w:szCs w:val="20"/>
              </w:rPr>
            </w:pPr>
          </w:p>
        </w:tc>
        <w:tc>
          <w:tcPr>
            <w:tcW w:w="1222" w:type="dxa"/>
            <w:gridSpan w:val="2"/>
          </w:tcPr>
          <w:p w:rsidR="00ED6ED5" w:rsidRPr="00EB7C9E" w:rsidRDefault="00ED6ED5" w:rsidP="00CD56AD">
            <w:pPr>
              <w:pStyle w:val="Paragraphedeliste"/>
              <w:tabs>
                <w:tab w:val="left" w:pos="2368"/>
              </w:tabs>
              <w:ind w:left="0"/>
              <w:jc w:val="center"/>
              <w:rPr>
                <w:rFonts w:cstheme="minorHAnsi"/>
                <w:sz w:val="20"/>
                <w:szCs w:val="20"/>
              </w:rPr>
            </w:pP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5</w:t>
            </w:r>
          </w:p>
        </w:tc>
        <w:tc>
          <w:tcPr>
            <w:tcW w:w="1187"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2850</w:t>
            </w:r>
          </w:p>
        </w:tc>
        <w:tc>
          <w:tcPr>
            <w:tcW w:w="117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75</w:t>
            </w:r>
          </w:p>
        </w:tc>
        <w:tc>
          <w:tcPr>
            <w:tcW w:w="1221" w:type="dxa"/>
          </w:tcPr>
          <w:p w:rsidR="00ED6ED5" w:rsidRPr="00EB7C9E" w:rsidRDefault="00ED6ED5" w:rsidP="00CD56AD">
            <w:pPr>
              <w:pStyle w:val="Paragraphedeliste"/>
              <w:tabs>
                <w:tab w:val="left" w:pos="2368"/>
              </w:tabs>
              <w:ind w:left="0"/>
              <w:jc w:val="center"/>
              <w:rPr>
                <w:rFonts w:cstheme="minorHAnsi"/>
                <w:sz w:val="20"/>
                <w:szCs w:val="20"/>
              </w:rPr>
            </w:pPr>
            <w:r w:rsidRPr="00EB7C9E">
              <w:rPr>
                <w:rFonts w:cstheme="minorHAnsi"/>
                <w:sz w:val="20"/>
                <w:szCs w:val="20"/>
              </w:rPr>
              <w:t>50</w:t>
            </w:r>
          </w:p>
        </w:tc>
      </w:tr>
    </w:tbl>
    <w:p w:rsidR="00ED6ED5" w:rsidRPr="00EB7C9E" w:rsidRDefault="00ED6ED5" w:rsidP="00ED6ED5">
      <w:pPr>
        <w:pStyle w:val="Paragraphedeliste"/>
        <w:spacing w:before="120"/>
        <w:ind w:left="0"/>
        <w:rPr>
          <w:sz w:val="20"/>
          <w:szCs w:val="20"/>
        </w:rPr>
      </w:pPr>
    </w:p>
    <w:p w:rsidR="00ED6ED5" w:rsidRDefault="00ED6ED5" w:rsidP="00ED6ED5">
      <w:pPr>
        <w:pStyle w:val="Paragraphedeliste"/>
        <w:tabs>
          <w:tab w:val="left" w:pos="2368"/>
        </w:tabs>
        <w:ind w:left="0"/>
        <w:jc w:val="both"/>
        <w:rPr>
          <w:rFonts w:asciiTheme="majorBidi" w:hAnsiTheme="majorBidi" w:cstheme="majorBidi"/>
          <w:b/>
          <w:bCs/>
        </w:rPr>
      </w:pPr>
      <w:r>
        <w:rPr>
          <w:rFonts w:asciiTheme="majorBidi" w:hAnsiTheme="majorBidi" w:cstheme="majorBidi"/>
          <w:b/>
          <w:bCs/>
        </w:rPr>
        <w:t>Annexe 2</w:t>
      </w:r>
    </w:p>
    <w:p w:rsidR="00ED6ED5" w:rsidRDefault="00ED6ED5" w:rsidP="00ED6ED5">
      <w:pPr>
        <w:pStyle w:val="Paragraphedeliste"/>
        <w:tabs>
          <w:tab w:val="left" w:pos="2368"/>
        </w:tabs>
        <w:ind w:left="0"/>
        <w:jc w:val="both"/>
        <w:rPr>
          <w:rFonts w:asciiTheme="majorBidi" w:hAnsiTheme="majorBidi" w:cstheme="majorBidi"/>
          <w:b/>
          <w:bCs/>
        </w:rPr>
      </w:pPr>
      <w:r>
        <w:rPr>
          <w:noProof/>
        </w:rPr>
        <w:drawing>
          <wp:inline distT="0" distB="0" distL="0" distR="0">
            <wp:extent cx="2382520" cy="1591310"/>
            <wp:effectExtent l="0" t="0" r="0" b="0"/>
            <wp:docPr id="5" name="Image 5" descr="Résultat de recherche d'images pour &quot;histogramme statistiqu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histogramme statistique&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2520" cy="1591310"/>
                    </a:xfrm>
                    <a:prstGeom prst="rect">
                      <a:avLst/>
                    </a:prstGeom>
                    <a:noFill/>
                    <a:ln>
                      <a:noFill/>
                    </a:ln>
                  </pic:spPr>
                </pic:pic>
              </a:graphicData>
            </a:graphic>
          </wp:inline>
        </w:drawing>
      </w:r>
    </w:p>
    <w:p w:rsidR="00ED6ED5" w:rsidRDefault="00ED6ED5" w:rsidP="00ED6ED5">
      <w:pPr>
        <w:pStyle w:val="Paragraphedeliste"/>
        <w:tabs>
          <w:tab w:val="left" w:pos="2368"/>
        </w:tabs>
        <w:ind w:left="0"/>
        <w:jc w:val="both"/>
        <w:rPr>
          <w:rFonts w:asciiTheme="majorBidi" w:hAnsiTheme="majorBidi" w:cstheme="majorBidi"/>
          <w:b/>
          <w:bCs/>
        </w:rPr>
      </w:pPr>
    </w:p>
    <w:p w:rsidR="00ED6ED5" w:rsidRDefault="00ED6ED5" w:rsidP="00ED6ED5">
      <w:pPr>
        <w:pStyle w:val="Paragraphedeliste"/>
        <w:tabs>
          <w:tab w:val="left" w:pos="2368"/>
        </w:tabs>
        <w:ind w:left="0"/>
        <w:jc w:val="both"/>
        <w:rPr>
          <w:rFonts w:asciiTheme="majorBidi" w:hAnsiTheme="majorBidi" w:cstheme="majorBidi"/>
          <w:b/>
          <w:bCs/>
        </w:rPr>
      </w:pPr>
      <w:r>
        <w:rPr>
          <w:rFonts w:asciiTheme="majorBidi" w:hAnsiTheme="majorBidi" w:cstheme="majorBidi"/>
          <w:b/>
          <w:bCs/>
        </w:rPr>
        <w:t>Annexe 3</w:t>
      </w:r>
    </w:p>
    <w:p w:rsidR="00ED6ED5" w:rsidRPr="000F6760" w:rsidRDefault="00ED6ED5" w:rsidP="007C5144">
      <w:pPr>
        <w:pStyle w:val="Paragraphedeliste"/>
        <w:tabs>
          <w:tab w:val="left" w:pos="2368"/>
        </w:tabs>
        <w:ind w:left="0"/>
        <w:rPr>
          <w:iCs/>
        </w:rPr>
      </w:pPr>
      <w:r w:rsidRPr="000F6760">
        <w:rPr>
          <w:iCs/>
        </w:rPr>
        <w:t xml:space="preserve">Un histogramme est une représentation graphique de la distribution d’une série statistique. Elle représente une estimation de la probabilité d'une variable quantitative continue. </w:t>
      </w:r>
      <w:r w:rsidRPr="000F6760">
        <w:rPr>
          <w:iCs/>
          <w:lang w:val="en-US"/>
        </w:rPr>
        <w:t>A été introduite par Karl Pearson [Pearson K. Contributions to the Mathematical Theory of Evolution. II. Skew Variation in Homogeneous Material. Philosophical Transactions of the Royal Society A: Mathematical, Physical and Engineering Sciences 1895</w:t>
      </w:r>
      <w:r w:rsidR="00496AD8" w:rsidRPr="000F6760">
        <w:rPr>
          <w:iCs/>
          <w:lang w:val="en-US"/>
        </w:rPr>
        <w:t>; 186:343</w:t>
      </w:r>
      <w:r w:rsidRPr="000F6760">
        <w:rPr>
          <w:iCs/>
          <w:lang w:val="en-US"/>
        </w:rPr>
        <w:t xml:space="preserve">-414.]. </w:t>
      </w:r>
      <w:r w:rsidRPr="000F6760">
        <w:rPr>
          <w:iCs/>
        </w:rPr>
        <w:t>Un histogramme est une représentation graphique de type colonnes pour des classes de fréquence égale. La hauteur de la colonne est égale à la fréquence des intervalles. Les intervalles sont consécutifs et ne se superposent pas.</w:t>
      </w:r>
    </w:p>
    <w:p w:rsidR="00ED6ED5" w:rsidRDefault="00ED6ED5" w:rsidP="00ED6ED5">
      <w:pPr>
        <w:pStyle w:val="Paragraphedeliste"/>
        <w:tabs>
          <w:tab w:val="left" w:pos="2368"/>
        </w:tabs>
        <w:spacing w:before="240" w:after="0"/>
        <w:ind w:left="0"/>
        <w:jc w:val="both"/>
        <w:rPr>
          <w:rFonts w:asciiTheme="majorBidi" w:hAnsiTheme="majorBidi" w:cstheme="majorBidi"/>
          <w:b/>
          <w:bCs/>
        </w:rPr>
        <w:sectPr w:rsidR="00ED6ED5" w:rsidSect="008F4500">
          <w:headerReference w:type="default" r:id="rId7"/>
          <w:pgSz w:w="11906" w:h="16838"/>
          <w:pgMar w:top="1134" w:right="1134" w:bottom="1134" w:left="1417" w:header="709" w:footer="709" w:gutter="0"/>
          <w:cols w:space="708"/>
          <w:docGrid w:linePitch="360"/>
        </w:sectPr>
      </w:pPr>
    </w:p>
    <w:p w:rsidR="00ED6ED5" w:rsidRDefault="00ED6ED5" w:rsidP="00ED6ED5">
      <w:pPr>
        <w:pStyle w:val="Paragraphedeliste"/>
        <w:tabs>
          <w:tab w:val="left" w:pos="2368"/>
        </w:tabs>
        <w:spacing w:before="240" w:after="0"/>
        <w:ind w:left="0"/>
        <w:jc w:val="both"/>
        <w:rPr>
          <w:rFonts w:asciiTheme="majorBidi" w:hAnsiTheme="majorBidi" w:cstheme="majorBidi"/>
          <w:b/>
          <w:bCs/>
        </w:rPr>
      </w:pPr>
      <w:r>
        <w:rPr>
          <w:rFonts w:asciiTheme="majorBidi" w:hAnsiTheme="majorBidi" w:cstheme="majorBidi"/>
          <w:b/>
          <w:bCs/>
        </w:rPr>
        <w:lastRenderedPageBreak/>
        <w:t>Annexe 4</w:t>
      </w:r>
    </w:p>
    <w:p w:rsidR="00ED6ED5" w:rsidRDefault="00114B44" w:rsidP="00ED6ED5">
      <w:pPr>
        <w:pStyle w:val="Paragraphedeliste"/>
        <w:tabs>
          <w:tab w:val="left" w:pos="2368"/>
        </w:tabs>
        <w:spacing w:before="240" w:after="0"/>
        <w:ind w:left="0"/>
        <w:jc w:val="both"/>
        <w:rPr>
          <w:rFonts w:asciiTheme="majorBidi" w:hAnsiTheme="majorBidi" w:cstheme="majorBidi"/>
          <w:b/>
          <w:bCs/>
        </w:rPr>
      </w:pPr>
      <w:r>
        <w:rPr>
          <w:rFonts w:asciiTheme="majorBidi" w:hAnsiTheme="majorBidi" w:cstheme="majorBidi"/>
          <w:b/>
          <w:bCs/>
          <w:noProof/>
        </w:rPr>
        <w:drawing>
          <wp:inline distT="0" distB="0" distL="0" distR="0">
            <wp:extent cx="5940000" cy="2848095"/>
            <wp:effectExtent l="19050" t="0" r="360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6134" t="37325" r="16189" b="16186"/>
                    <a:stretch>
                      <a:fillRect/>
                    </a:stretch>
                  </pic:blipFill>
                  <pic:spPr bwMode="auto">
                    <a:xfrm>
                      <a:off x="0" y="0"/>
                      <a:ext cx="5940000" cy="2848095"/>
                    </a:xfrm>
                    <a:prstGeom prst="rect">
                      <a:avLst/>
                    </a:prstGeom>
                    <a:noFill/>
                    <a:ln w="9525">
                      <a:noFill/>
                      <a:miter lim="800000"/>
                      <a:headEnd/>
                      <a:tailEnd/>
                    </a:ln>
                  </pic:spPr>
                </pic:pic>
              </a:graphicData>
            </a:graphic>
          </wp:inline>
        </w:drawing>
      </w:r>
    </w:p>
    <w:p w:rsidR="007C5144" w:rsidRDefault="007C5144" w:rsidP="00ED6ED5">
      <w:pPr>
        <w:pStyle w:val="Paragraphedeliste"/>
        <w:tabs>
          <w:tab w:val="left" w:pos="2368"/>
        </w:tabs>
        <w:spacing w:before="240" w:after="0"/>
        <w:ind w:left="0"/>
        <w:jc w:val="both"/>
        <w:rPr>
          <w:rFonts w:asciiTheme="majorBidi" w:hAnsiTheme="majorBidi" w:cstheme="majorBidi"/>
          <w:b/>
          <w:bCs/>
        </w:rPr>
      </w:pPr>
    </w:p>
    <w:p w:rsidR="00ED6ED5" w:rsidRPr="00A74AFA" w:rsidRDefault="00ED6ED5" w:rsidP="00ED6ED5">
      <w:pPr>
        <w:pStyle w:val="Paragraphedeliste"/>
        <w:tabs>
          <w:tab w:val="left" w:pos="2368"/>
        </w:tabs>
        <w:spacing w:before="240" w:after="0"/>
        <w:ind w:left="0"/>
        <w:jc w:val="both"/>
        <w:rPr>
          <w:rFonts w:asciiTheme="majorBidi" w:hAnsiTheme="majorBidi" w:cstheme="majorBidi"/>
          <w:b/>
          <w:bCs/>
          <w:lang w:val="en-US"/>
        </w:rPr>
      </w:pPr>
      <w:proofErr w:type="spellStart"/>
      <w:r w:rsidRPr="00A74AFA">
        <w:rPr>
          <w:rFonts w:asciiTheme="majorBidi" w:hAnsiTheme="majorBidi" w:cstheme="majorBidi"/>
          <w:b/>
          <w:bCs/>
          <w:lang w:val="en-US"/>
        </w:rPr>
        <w:t>Annexe</w:t>
      </w:r>
      <w:proofErr w:type="spellEnd"/>
      <w:r w:rsidRPr="00A74AFA">
        <w:rPr>
          <w:rFonts w:asciiTheme="majorBidi" w:hAnsiTheme="majorBidi" w:cstheme="majorBidi"/>
          <w:b/>
          <w:bCs/>
          <w:lang w:val="en-US"/>
        </w:rPr>
        <w:t xml:space="preserve"> 5</w:t>
      </w:r>
    </w:p>
    <w:p w:rsidR="00A74AFA" w:rsidRPr="00DB5CC4" w:rsidRDefault="00A74AFA" w:rsidP="00A74AFA">
      <w:pPr>
        <w:spacing w:before="120" w:after="0"/>
        <w:jc w:val="center"/>
        <w:rPr>
          <w:rFonts w:asciiTheme="majorBidi" w:hAnsiTheme="majorBidi" w:cstheme="majorBidi"/>
          <w:b/>
          <w:bCs/>
          <w:sz w:val="24"/>
          <w:szCs w:val="24"/>
        </w:rPr>
      </w:pPr>
      <w:r w:rsidRPr="00DB5CC4">
        <w:rPr>
          <w:rFonts w:asciiTheme="majorBidi" w:hAnsiTheme="majorBidi" w:cstheme="majorBidi"/>
          <w:b/>
          <w:bCs/>
          <w:sz w:val="24"/>
          <w:szCs w:val="24"/>
        </w:rPr>
        <w:t>ANTIDEPRESSEURS CHEZ LES ENFANTS ET LES ADOLESCENTS</w:t>
      </w:r>
    </w:p>
    <w:p w:rsidR="00A74AFA" w:rsidRDefault="00A74AFA" w:rsidP="00A74AFA">
      <w:pPr>
        <w:spacing w:before="120" w:after="0"/>
        <w:jc w:val="center"/>
        <w:rPr>
          <w:rFonts w:asciiTheme="majorBidi" w:hAnsiTheme="majorBidi" w:cstheme="majorBidi"/>
          <w:sz w:val="24"/>
          <w:szCs w:val="24"/>
        </w:rPr>
      </w:pPr>
      <w:r>
        <w:rPr>
          <w:rFonts w:asciiTheme="majorBidi" w:hAnsiTheme="majorBidi" w:cstheme="majorBidi"/>
          <w:sz w:val="24"/>
          <w:szCs w:val="24"/>
        </w:rPr>
        <w:t xml:space="preserve">Edit. </w:t>
      </w:r>
      <w:proofErr w:type="spellStart"/>
      <w:r w:rsidRPr="00DB5CC4">
        <w:rPr>
          <w:rFonts w:asciiTheme="majorBidi" w:hAnsiTheme="majorBidi" w:cstheme="majorBidi"/>
          <w:sz w:val="24"/>
          <w:szCs w:val="24"/>
        </w:rPr>
        <w:t>Minerva</w:t>
      </w:r>
      <w:proofErr w:type="spellEnd"/>
      <w:r w:rsidRPr="00DB5CC4">
        <w:rPr>
          <w:rFonts w:asciiTheme="majorBidi" w:hAnsiTheme="majorBidi" w:cstheme="majorBidi"/>
          <w:sz w:val="24"/>
          <w:szCs w:val="24"/>
        </w:rPr>
        <w:t xml:space="preserve"> 2008 Volume 7 Numéro 1 Page</w:t>
      </w:r>
      <w:r>
        <w:rPr>
          <w:rFonts w:asciiTheme="majorBidi" w:hAnsiTheme="majorBidi" w:cstheme="majorBidi"/>
          <w:sz w:val="24"/>
          <w:szCs w:val="24"/>
        </w:rPr>
        <w:t>s 10-</w:t>
      </w:r>
      <w:r w:rsidRPr="00DB5CC4">
        <w:rPr>
          <w:rFonts w:asciiTheme="majorBidi" w:hAnsiTheme="majorBidi" w:cstheme="majorBidi"/>
          <w:sz w:val="24"/>
          <w:szCs w:val="24"/>
        </w:rPr>
        <w:t>11</w:t>
      </w:r>
    </w:p>
    <w:p w:rsidR="00A74AFA" w:rsidRPr="00E64F8F" w:rsidRDefault="00A74AFA" w:rsidP="00A74AFA">
      <w:pPr>
        <w:spacing w:before="120" w:after="0"/>
        <w:rPr>
          <w:rFonts w:asciiTheme="majorBidi" w:hAnsiTheme="majorBidi" w:cstheme="majorBidi"/>
          <w:b/>
          <w:sz w:val="24"/>
          <w:szCs w:val="24"/>
        </w:rPr>
      </w:pPr>
      <w:r w:rsidRPr="00E64F8F">
        <w:rPr>
          <w:rFonts w:asciiTheme="majorBidi" w:hAnsiTheme="majorBidi" w:cstheme="majorBidi"/>
          <w:b/>
          <w:sz w:val="24"/>
          <w:szCs w:val="24"/>
        </w:rPr>
        <w:t>ABSTRACT</w:t>
      </w:r>
    </w:p>
    <w:p w:rsidR="00A74AFA" w:rsidRPr="00DB5CC4" w:rsidRDefault="00A74AFA" w:rsidP="00A74AFA">
      <w:pPr>
        <w:spacing w:before="120" w:after="0"/>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14:anchorId="553044FD" wp14:editId="37D37E1E">
            <wp:extent cx="432000" cy="372066"/>
            <wp:effectExtent l="0" t="0" r="635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r="54185"/>
                    <a:stretch>
                      <a:fillRect/>
                    </a:stretch>
                  </pic:blipFill>
                  <pic:spPr bwMode="auto">
                    <a:xfrm>
                      <a:off x="0" y="0"/>
                      <a:ext cx="432000" cy="372066"/>
                    </a:xfrm>
                    <a:prstGeom prst="rect">
                      <a:avLst/>
                    </a:prstGeom>
                    <a:noFill/>
                    <a:ln w="9525">
                      <a:noFill/>
                      <a:miter lim="800000"/>
                      <a:headEnd/>
                      <a:tailEnd/>
                    </a:ln>
                  </pic:spPr>
                </pic:pic>
              </a:graphicData>
            </a:graphic>
          </wp:inline>
        </w:drawing>
      </w:r>
      <w:r w:rsidRPr="00DB5CC4">
        <w:rPr>
          <w:rFonts w:asciiTheme="majorBidi" w:hAnsiTheme="majorBidi" w:cstheme="majorBidi"/>
          <w:b/>
          <w:bCs/>
          <w:sz w:val="24"/>
          <w:szCs w:val="24"/>
        </w:rPr>
        <w:t>Auteurs</w:t>
      </w:r>
    </w:p>
    <w:p w:rsidR="00A74AFA" w:rsidRPr="00DB5CC4" w:rsidRDefault="00A74AFA" w:rsidP="00A74AFA">
      <w:pPr>
        <w:spacing w:before="120" w:after="0"/>
        <w:rPr>
          <w:rFonts w:asciiTheme="majorBidi" w:hAnsiTheme="majorBidi" w:cstheme="majorBidi"/>
          <w:sz w:val="24"/>
          <w:szCs w:val="24"/>
        </w:rPr>
      </w:pPr>
      <w:r w:rsidRPr="00DB5CC4">
        <w:rPr>
          <w:rFonts w:asciiTheme="majorBidi" w:hAnsiTheme="majorBidi" w:cstheme="majorBidi"/>
          <w:sz w:val="24"/>
          <w:szCs w:val="24"/>
        </w:rPr>
        <w:t>Pieters G.</w:t>
      </w:r>
    </w:p>
    <w:p w:rsidR="00A74AFA" w:rsidRPr="00DB5CC4" w:rsidRDefault="00A74AFA" w:rsidP="00A74AFA">
      <w:pPr>
        <w:spacing w:before="120" w:after="0"/>
        <w:jc w:val="both"/>
        <w:rPr>
          <w:rFonts w:asciiTheme="majorBidi" w:hAnsiTheme="majorBidi" w:cstheme="majorBidi"/>
          <w:sz w:val="24"/>
          <w:szCs w:val="24"/>
        </w:rPr>
      </w:pPr>
      <w:proofErr w:type="spellStart"/>
      <w:r w:rsidRPr="00DB5CC4">
        <w:rPr>
          <w:rFonts w:asciiTheme="majorBidi" w:hAnsiTheme="majorBidi" w:cstheme="majorBidi"/>
          <w:sz w:val="24"/>
          <w:szCs w:val="24"/>
        </w:rPr>
        <w:t>Dienst</w:t>
      </w:r>
      <w:proofErr w:type="spellEnd"/>
      <w:r w:rsidRPr="00DB5CC4">
        <w:rPr>
          <w:rFonts w:asciiTheme="majorBidi" w:hAnsiTheme="majorBidi" w:cstheme="majorBidi"/>
          <w:sz w:val="24"/>
          <w:szCs w:val="24"/>
        </w:rPr>
        <w:t xml:space="preserve"> Psychiatrie-</w:t>
      </w:r>
      <w:proofErr w:type="spellStart"/>
      <w:r w:rsidRPr="00DB5CC4">
        <w:rPr>
          <w:rFonts w:asciiTheme="majorBidi" w:hAnsiTheme="majorBidi" w:cstheme="majorBidi"/>
          <w:sz w:val="24"/>
          <w:szCs w:val="24"/>
        </w:rPr>
        <w:t>Gedragstherapie</w:t>
      </w:r>
      <w:proofErr w:type="spellEnd"/>
      <w:r w:rsidRPr="00DB5CC4">
        <w:rPr>
          <w:rFonts w:asciiTheme="majorBidi" w:hAnsiTheme="majorBidi" w:cstheme="majorBidi"/>
          <w:sz w:val="24"/>
          <w:szCs w:val="24"/>
        </w:rPr>
        <w:t xml:space="preserve">, </w:t>
      </w:r>
      <w:proofErr w:type="spellStart"/>
      <w:r w:rsidRPr="00DB5CC4">
        <w:rPr>
          <w:rFonts w:asciiTheme="majorBidi" w:hAnsiTheme="majorBidi" w:cstheme="majorBidi"/>
          <w:sz w:val="24"/>
          <w:szCs w:val="24"/>
        </w:rPr>
        <w:t>Universitair</w:t>
      </w:r>
      <w:proofErr w:type="spellEnd"/>
      <w:r w:rsidRPr="00DB5CC4">
        <w:rPr>
          <w:rFonts w:asciiTheme="majorBidi" w:hAnsiTheme="majorBidi" w:cstheme="majorBidi"/>
          <w:sz w:val="24"/>
          <w:szCs w:val="24"/>
        </w:rPr>
        <w:t xml:space="preserve"> Centrum Sint-Jozef, Kortenberg</w:t>
      </w:r>
    </w:p>
    <w:p w:rsidR="00A74AFA" w:rsidRPr="00DB5CC4" w:rsidRDefault="00A74AFA" w:rsidP="00A74AFA">
      <w:pPr>
        <w:spacing w:before="120" w:after="0"/>
        <w:jc w:val="both"/>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14:anchorId="479A276E" wp14:editId="7FE77B54">
            <wp:extent cx="432000" cy="389826"/>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32000" cy="389826"/>
                    </a:xfrm>
                    <a:prstGeom prst="rect">
                      <a:avLst/>
                    </a:prstGeom>
                    <a:noFill/>
                    <a:ln w="9525">
                      <a:noFill/>
                      <a:miter lim="800000"/>
                      <a:headEnd/>
                      <a:tailEnd/>
                    </a:ln>
                  </pic:spPr>
                </pic:pic>
              </a:graphicData>
            </a:graphic>
          </wp:inline>
        </w:drawing>
      </w:r>
      <w:r w:rsidR="00DB5A52" w:rsidRPr="00DB5CC4">
        <w:rPr>
          <w:rFonts w:asciiTheme="majorBidi" w:hAnsiTheme="majorBidi" w:cstheme="majorBidi"/>
          <w:b/>
          <w:bCs/>
          <w:sz w:val="24"/>
          <w:szCs w:val="24"/>
        </w:rPr>
        <w:t>MOTS-CLES</w:t>
      </w:r>
    </w:p>
    <w:p w:rsidR="00A74AFA" w:rsidRPr="00DB5A52" w:rsidRDefault="00A74AFA" w:rsidP="00A74AFA">
      <w:pPr>
        <w:spacing w:before="120" w:after="0"/>
        <w:jc w:val="both"/>
        <w:rPr>
          <w:rFonts w:cstheme="minorHAnsi"/>
        </w:rPr>
      </w:pPr>
      <w:r w:rsidRPr="00DB5A52">
        <w:rPr>
          <w:rFonts w:cstheme="minorHAnsi"/>
        </w:rPr>
        <w:t>Antidépresseur, dépression, effet indésirable, suicide, tentative de suicide, trouble anxieux, trouble obsessionnel compulsif</w:t>
      </w:r>
    </w:p>
    <w:p w:rsidR="00A74AFA" w:rsidRPr="00DB5A52" w:rsidRDefault="00A74AFA" w:rsidP="00A74AFA">
      <w:pPr>
        <w:spacing w:before="120" w:after="0"/>
        <w:jc w:val="both"/>
        <w:rPr>
          <w:rFonts w:cstheme="minorHAnsi"/>
          <w:b/>
          <w:bCs/>
        </w:rPr>
      </w:pPr>
      <w:r w:rsidRPr="00DB5A52">
        <w:rPr>
          <w:rFonts w:cstheme="minorHAnsi"/>
          <w:b/>
          <w:bCs/>
          <w:noProof/>
        </w:rPr>
        <w:drawing>
          <wp:inline distT="0" distB="0" distL="0" distR="0" wp14:anchorId="6E733395" wp14:editId="548ED4E3">
            <wp:extent cx="432000" cy="394758"/>
            <wp:effectExtent l="0" t="0" r="635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432000" cy="394758"/>
                    </a:xfrm>
                    <a:prstGeom prst="rect">
                      <a:avLst/>
                    </a:prstGeom>
                    <a:noFill/>
                    <a:ln w="9525">
                      <a:noFill/>
                      <a:miter lim="800000"/>
                      <a:headEnd/>
                      <a:tailEnd/>
                    </a:ln>
                  </pic:spPr>
                </pic:pic>
              </a:graphicData>
            </a:graphic>
          </wp:inline>
        </w:drawing>
      </w:r>
      <w:r w:rsidR="00DB5A52" w:rsidRPr="00DB5A52">
        <w:rPr>
          <w:rFonts w:cstheme="minorHAnsi"/>
          <w:b/>
          <w:bCs/>
        </w:rPr>
        <w:t>GLOSSAIRE</w:t>
      </w:r>
    </w:p>
    <w:p w:rsidR="00A74AFA" w:rsidRPr="00DB5A52" w:rsidRDefault="00A74AFA" w:rsidP="00A74AFA">
      <w:pPr>
        <w:spacing w:before="120" w:after="0"/>
        <w:jc w:val="both"/>
        <w:rPr>
          <w:rFonts w:cstheme="minorHAnsi"/>
        </w:rPr>
      </w:pPr>
      <w:r w:rsidRPr="00DB5A52">
        <w:rPr>
          <w:rFonts w:cstheme="minorHAnsi"/>
        </w:rPr>
        <w:t>Étude par permutation, modèle d’effets aléatoires, nombre de sujets à traiter, nombre nécessaire pour nuire</w:t>
      </w:r>
    </w:p>
    <w:p w:rsidR="00ED6ED5" w:rsidRPr="00A74AFA" w:rsidRDefault="00ED6ED5" w:rsidP="00ED6ED5">
      <w:pPr>
        <w:pStyle w:val="Paragraphedeliste"/>
        <w:tabs>
          <w:tab w:val="left" w:pos="2368"/>
        </w:tabs>
        <w:spacing w:before="240" w:after="0"/>
        <w:ind w:left="0"/>
        <w:jc w:val="both"/>
        <w:rPr>
          <w:rFonts w:asciiTheme="majorHAnsi" w:eastAsia="Times New Roman" w:hAnsiTheme="majorHAnsi" w:cs="Times New Roman"/>
          <w:color w:val="333333"/>
          <w:lang w:val="en-US"/>
        </w:rPr>
      </w:pPr>
      <w:r w:rsidRPr="00DB5A52">
        <w:rPr>
          <w:rFonts w:cstheme="minorHAnsi"/>
          <w:noProof/>
        </w:rPr>
        <w:drawing>
          <wp:inline distT="0" distB="0" distL="0" distR="0">
            <wp:extent cx="485775" cy="457200"/>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485775" cy="457200"/>
                    </a:xfrm>
                    <a:prstGeom prst="rect">
                      <a:avLst/>
                    </a:prstGeom>
                  </pic:spPr>
                </pic:pic>
              </a:graphicData>
            </a:graphic>
          </wp:inline>
        </w:drawing>
      </w:r>
      <w:r w:rsidRPr="00DB5A52">
        <w:rPr>
          <w:rFonts w:eastAsia="Times New Roman" w:cstheme="minorHAnsi"/>
          <w:color w:val="000000"/>
          <w:lang w:val="en-US"/>
        </w:rPr>
        <w:t>ANALYSE</w:t>
      </w:r>
      <w:r w:rsidRPr="00A74AFA">
        <w:rPr>
          <w:rFonts w:asciiTheme="majorHAnsi" w:eastAsia="Times New Roman" w:hAnsiTheme="majorHAnsi" w:cs="Times New Roman"/>
          <w:color w:val="000000"/>
          <w:lang w:val="en-US"/>
        </w:rPr>
        <w:t xml:space="preserve"> DE</w:t>
      </w:r>
    </w:p>
    <w:p w:rsidR="00A74AFA" w:rsidRPr="00DB5A52" w:rsidRDefault="00ED6ED5" w:rsidP="00DB5A52">
      <w:pPr>
        <w:sectPr w:rsidR="00A74AFA" w:rsidRPr="00DB5A52" w:rsidSect="008F4500">
          <w:pgSz w:w="11906" w:h="16838"/>
          <w:pgMar w:top="1134" w:right="1134" w:bottom="1134" w:left="1417" w:header="709" w:footer="709" w:gutter="0"/>
          <w:cols w:space="708"/>
          <w:docGrid w:linePitch="360"/>
        </w:sectPr>
      </w:pPr>
      <w:r w:rsidRPr="00DB5A52">
        <w:t xml:space="preserve">Bridge JA, </w:t>
      </w:r>
      <w:proofErr w:type="spellStart"/>
      <w:r w:rsidRPr="00DB5A52">
        <w:t>Iyengar</w:t>
      </w:r>
      <w:proofErr w:type="spellEnd"/>
      <w:r w:rsidRPr="00DB5A52">
        <w:t xml:space="preserve"> S, </w:t>
      </w:r>
      <w:proofErr w:type="spellStart"/>
      <w:r w:rsidRPr="00DB5A52">
        <w:t>Salary</w:t>
      </w:r>
      <w:proofErr w:type="spellEnd"/>
      <w:r w:rsidRPr="00DB5A52">
        <w:t xml:space="preserve"> CB, et al. </w:t>
      </w:r>
      <w:proofErr w:type="spellStart"/>
      <w:r w:rsidRPr="00DB5A52">
        <w:t>Clinical</w:t>
      </w:r>
      <w:proofErr w:type="spellEnd"/>
      <w:r w:rsidRPr="00DB5A52">
        <w:t xml:space="preserve"> </w:t>
      </w:r>
      <w:proofErr w:type="spellStart"/>
      <w:r w:rsidRPr="00DB5A52">
        <w:t>response</w:t>
      </w:r>
      <w:proofErr w:type="spellEnd"/>
      <w:r w:rsidRPr="00DB5A52">
        <w:t xml:space="preserve"> and </w:t>
      </w:r>
      <w:proofErr w:type="spellStart"/>
      <w:r w:rsidRPr="00DB5A52">
        <w:t>risk</w:t>
      </w:r>
      <w:proofErr w:type="spellEnd"/>
      <w:r w:rsidRPr="00DB5A52">
        <w:t xml:space="preserve"> for </w:t>
      </w:r>
      <w:proofErr w:type="spellStart"/>
      <w:r w:rsidRPr="00DB5A52">
        <w:t>reported</w:t>
      </w:r>
      <w:proofErr w:type="spellEnd"/>
      <w:r w:rsidRPr="00DB5A52">
        <w:t xml:space="preserve"> </w:t>
      </w:r>
      <w:proofErr w:type="spellStart"/>
      <w:r w:rsidRPr="00DB5A52">
        <w:t>suicidal</w:t>
      </w:r>
      <w:proofErr w:type="spellEnd"/>
      <w:r w:rsidRPr="00DB5A52">
        <w:t xml:space="preserve"> </w:t>
      </w:r>
      <w:proofErr w:type="spellStart"/>
      <w:r w:rsidRPr="00DB5A52">
        <w:t>ideation</w:t>
      </w:r>
      <w:proofErr w:type="spellEnd"/>
      <w:r w:rsidRPr="00DB5A52">
        <w:t xml:space="preserve"> and suicide </w:t>
      </w:r>
      <w:proofErr w:type="spellStart"/>
      <w:r w:rsidRPr="00DB5A52">
        <w:t>attempts</w:t>
      </w:r>
      <w:proofErr w:type="spellEnd"/>
      <w:r w:rsidRPr="00DB5A52">
        <w:t xml:space="preserve"> in </w:t>
      </w:r>
      <w:proofErr w:type="spellStart"/>
      <w:r w:rsidRPr="00DB5A52">
        <w:t>pediatric</w:t>
      </w:r>
      <w:proofErr w:type="spellEnd"/>
      <w:r w:rsidRPr="00DB5A52">
        <w:t xml:space="preserve"> </w:t>
      </w:r>
      <w:proofErr w:type="spellStart"/>
      <w:r w:rsidRPr="00DB5A52">
        <w:t>antidepressant</w:t>
      </w:r>
      <w:proofErr w:type="spellEnd"/>
      <w:r w:rsidRPr="00DB5A52">
        <w:t xml:space="preserve"> </w:t>
      </w:r>
      <w:proofErr w:type="spellStart"/>
      <w:proofErr w:type="gramStart"/>
      <w:r w:rsidRPr="00DB5A52">
        <w:t>treatment</w:t>
      </w:r>
      <w:proofErr w:type="spellEnd"/>
      <w:r w:rsidRPr="00DB5A52">
        <w:t>:</w:t>
      </w:r>
      <w:proofErr w:type="gramEnd"/>
      <w:r w:rsidRPr="00DB5A52">
        <w:t xml:space="preserve"> </w:t>
      </w:r>
      <w:proofErr w:type="spellStart"/>
      <w:r w:rsidRPr="00DB5A52">
        <w:t>a</w:t>
      </w:r>
      <w:proofErr w:type="spellEnd"/>
      <w:r w:rsidRPr="00DB5A52">
        <w:t xml:space="preserve"> </w:t>
      </w:r>
      <w:proofErr w:type="spellStart"/>
      <w:r w:rsidRPr="00DB5A52">
        <w:t>meta-analysis</w:t>
      </w:r>
      <w:proofErr w:type="spellEnd"/>
      <w:r w:rsidRPr="00DB5A52">
        <w:t xml:space="preserve"> of </w:t>
      </w:r>
      <w:proofErr w:type="spellStart"/>
      <w:r w:rsidRPr="00DB5A52">
        <w:t>randomized</w:t>
      </w:r>
      <w:proofErr w:type="spellEnd"/>
      <w:r w:rsidRPr="00DB5A52">
        <w:t xml:space="preserve"> </w:t>
      </w:r>
      <w:proofErr w:type="spellStart"/>
      <w:r w:rsidRPr="00DB5A52">
        <w:t>controlled</w:t>
      </w:r>
      <w:proofErr w:type="spellEnd"/>
      <w:r w:rsidRPr="00DB5A52">
        <w:t xml:space="preserve"> trials. JAMA 2007;297:1683-96.</w:t>
      </w:r>
    </w:p>
    <w:p w:rsidR="00ED6ED5" w:rsidRPr="00DB5A52" w:rsidRDefault="00ED6ED5" w:rsidP="00ED6ED5">
      <w:pPr>
        <w:spacing w:after="0" w:line="240" w:lineRule="auto"/>
        <w:rPr>
          <w:rFonts w:asciiTheme="majorHAnsi" w:eastAsia="Times New Roman" w:hAnsiTheme="majorHAnsi" w:cs="Times New Roman"/>
          <w:color w:val="000000"/>
        </w:rPr>
      </w:pPr>
      <w:r w:rsidRPr="00DB5A52">
        <w:rPr>
          <w:noProof/>
        </w:rPr>
        <w:lastRenderedPageBreak/>
        <w:drawing>
          <wp:inline distT="0" distB="0" distL="0" distR="0">
            <wp:extent cx="400050" cy="381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400050" cy="381000"/>
                    </a:xfrm>
                    <a:prstGeom prst="rect">
                      <a:avLst/>
                    </a:prstGeom>
                  </pic:spPr>
                </pic:pic>
              </a:graphicData>
            </a:graphic>
          </wp:inline>
        </w:drawing>
      </w:r>
      <w:r w:rsidRPr="00DB5A52">
        <w:rPr>
          <w:rFonts w:asciiTheme="majorHAnsi" w:eastAsia="Times New Roman" w:hAnsiTheme="majorHAnsi" w:cs="Times New Roman"/>
          <w:color w:val="000000"/>
        </w:rPr>
        <w:t>QUESTION CLINIQUE</w:t>
      </w:r>
    </w:p>
    <w:p w:rsidR="00ED6ED5" w:rsidRPr="00DB5A52" w:rsidRDefault="00ED6ED5" w:rsidP="00DB5A52">
      <w:r w:rsidRPr="00DB5A52">
        <w:t>Quels sont l’efficacité et le risque suicidaire et/ou de tentative de suicide avec des antidépresseurs pour la dépression, le trouble obsessionnel compulsif et autres troubles anxieux chez l’enfant et l’adolescent ?</w:t>
      </w:r>
    </w:p>
    <w:p w:rsidR="00ED6ED5" w:rsidRPr="00DB5A52" w:rsidRDefault="00ED6ED5" w:rsidP="00ED6ED5">
      <w:pPr>
        <w:spacing w:after="0" w:line="240" w:lineRule="auto"/>
        <w:rPr>
          <w:rFonts w:asciiTheme="majorHAnsi" w:eastAsia="Times New Roman" w:hAnsiTheme="majorHAnsi" w:cs="Times New Roman"/>
          <w:color w:val="000000" w:themeColor="text1"/>
        </w:rPr>
      </w:pPr>
      <w:r w:rsidRPr="00DB5A52">
        <w:rPr>
          <w:noProof/>
          <w:color w:val="000000" w:themeColor="text1"/>
        </w:rPr>
        <w:drawing>
          <wp:inline distT="0" distB="0" distL="0" distR="0">
            <wp:extent cx="438150" cy="390525"/>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438150" cy="390525"/>
                    </a:xfrm>
                    <a:prstGeom prst="rect">
                      <a:avLst/>
                    </a:prstGeom>
                  </pic:spPr>
                </pic:pic>
              </a:graphicData>
            </a:graphic>
          </wp:inline>
        </w:drawing>
      </w:r>
      <w:r w:rsidRPr="00DB5A52">
        <w:rPr>
          <w:rFonts w:asciiTheme="majorHAnsi" w:eastAsia="Times New Roman" w:hAnsiTheme="majorHAnsi" w:cs="Times New Roman"/>
          <w:color w:val="000000" w:themeColor="text1"/>
        </w:rPr>
        <w:t>CONCLUSION</w:t>
      </w:r>
    </w:p>
    <w:p w:rsidR="00ED6ED5" w:rsidRPr="00DB5A52" w:rsidRDefault="00ED6ED5" w:rsidP="00DB5A52">
      <w:pPr>
        <w:rPr>
          <w:rFonts w:eastAsia="Times New Roman"/>
        </w:rPr>
      </w:pPr>
      <w:r w:rsidRPr="00DB5A52">
        <w:rPr>
          <w:rFonts w:eastAsia="Times New Roman"/>
        </w:rPr>
        <w:t>Cette étude montre que les inhibiteurs sélectifs de la recapture de la sérotonine (ISRS) ont une efficacité limitée dans le trouble dépressif majeur, modérée dans le trouble obsessionnel compulsif et importante dans les autres troubles anxieux chez les enfants et les adolescents. D’autre part, cette étude confirme un risque accru de suicide avec les ISRS dans ces indications pour ces groupes d’âge. Ces observations doivent inciter les psychiatres qui suivent des enfants ou des adolescents à informer correctement ceux-ci et leurs parents, à poser l’indication avec rigueur et à assurer un suivi strict.</w:t>
      </w:r>
    </w:p>
    <w:p w:rsidR="00ED6ED5" w:rsidRPr="004F1540" w:rsidRDefault="00ED6ED5" w:rsidP="00ED6ED5">
      <w:pPr>
        <w:spacing w:after="0" w:line="240" w:lineRule="auto"/>
        <w:rPr>
          <w:rFonts w:asciiTheme="majorHAnsi" w:hAnsiTheme="majorHAnsi"/>
          <w:b/>
        </w:rPr>
      </w:pPr>
      <w:r w:rsidRPr="004F1540">
        <w:rPr>
          <w:rFonts w:asciiTheme="majorHAnsi" w:hAnsiTheme="majorHAnsi"/>
          <w:b/>
        </w:rPr>
        <w:t>RESUME</w:t>
      </w:r>
    </w:p>
    <w:p w:rsidR="00ED6ED5" w:rsidRPr="000F6760" w:rsidRDefault="00ED6ED5" w:rsidP="00ED6ED5">
      <w:pPr>
        <w:pStyle w:val="Paragraphedeliste"/>
        <w:tabs>
          <w:tab w:val="left" w:pos="2368"/>
        </w:tabs>
        <w:spacing w:before="120" w:after="120"/>
        <w:ind w:left="0"/>
        <w:jc w:val="both"/>
        <w:rPr>
          <w:rFonts w:asciiTheme="majorHAnsi" w:hAnsiTheme="majorHAnsi"/>
          <w:b/>
        </w:rPr>
      </w:pPr>
      <w:r w:rsidRPr="000F6760">
        <w:rPr>
          <w:rFonts w:asciiTheme="majorHAnsi" w:hAnsiTheme="majorHAnsi"/>
          <w:b/>
        </w:rPr>
        <w:t>Contexte</w:t>
      </w:r>
    </w:p>
    <w:p w:rsidR="00ED6ED5" w:rsidRDefault="00ED6ED5" w:rsidP="00A74AFA">
      <w:pPr>
        <w:pStyle w:val="Paragraphedeliste"/>
        <w:tabs>
          <w:tab w:val="left" w:pos="2368"/>
        </w:tabs>
        <w:spacing w:before="240"/>
        <w:ind w:left="0"/>
        <w:jc w:val="both"/>
        <w:rPr>
          <w:rFonts w:asciiTheme="majorHAnsi" w:hAnsiTheme="majorHAnsi"/>
        </w:rPr>
      </w:pPr>
      <w:r w:rsidRPr="000F6760">
        <w:rPr>
          <w:rFonts w:asciiTheme="majorHAnsi" w:hAnsiTheme="majorHAnsi"/>
        </w:rPr>
        <w:t>La Food and Drug Administration (FDA) a enjoint, en 2005 aux E.-U., suite à une méta-analyse concernant les antidépresseurs chez les enfants et adolescents, les fabricants de ces médicaments d’inclure un avertissement dans leur notice à propos du risque d’idéation suicidaire chez des enfants (et en mai 2007 également chez les jeunes adultes âgés de 19 à 24 ans). Une polémique importante a suivi dans les milieux psychiatriques.</w:t>
      </w:r>
    </w:p>
    <w:p w:rsidR="00A74AFA" w:rsidRDefault="00A74AFA" w:rsidP="00A74AFA">
      <w:pPr>
        <w:pStyle w:val="Paragraphedeliste"/>
        <w:tabs>
          <w:tab w:val="left" w:pos="2368"/>
        </w:tabs>
        <w:spacing w:before="240"/>
        <w:ind w:left="0"/>
        <w:jc w:val="both"/>
        <w:rPr>
          <w:rFonts w:asciiTheme="majorHAnsi" w:hAnsiTheme="majorHAnsi"/>
        </w:rPr>
      </w:pPr>
    </w:p>
    <w:p w:rsidR="00ED6ED5" w:rsidRPr="000F6760" w:rsidRDefault="00ED6ED5" w:rsidP="00ED6ED5">
      <w:pPr>
        <w:pStyle w:val="Paragraphedeliste"/>
        <w:tabs>
          <w:tab w:val="left" w:pos="2368"/>
        </w:tabs>
        <w:ind w:left="0"/>
        <w:jc w:val="both"/>
        <w:rPr>
          <w:rFonts w:asciiTheme="majorHAnsi" w:hAnsiTheme="majorHAnsi"/>
          <w:b/>
        </w:rPr>
      </w:pPr>
      <w:r w:rsidRPr="000F6760">
        <w:rPr>
          <w:rFonts w:asciiTheme="majorHAnsi" w:hAnsiTheme="majorHAnsi"/>
        </w:rPr>
        <w:t xml:space="preserve"> </w:t>
      </w:r>
      <w:r w:rsidRPr="000F6760">
        <w:rPr>
          <w:rFonts w:asciiTheme="majorHAnsi" w:hAnsiTheme="majorHAnsi"/>
          <w:b/>
        </w:rPr>
        <w:t>Méthodologie</w:t>
      </w:r>
    </w:p>
    <w:p w:rsidR="00ED6ED5" w:rsidRPr="000F6760" w:rsidRDefault="00ED6ED5" w:rsidP="00ED6ED5">
      <w:pPr>
        <w:pStyle w:val="Paragraphedeliste"/>
        <w:tabs>
          <w:tab w:val="left" w:pos="284"/>
          <w:tab w:val="left" w:pos="2368"/>
        </w:tabs>
        <w:ind w:left="0"/>
        <w:jc w:val="both"/>
        <w:rPr>
          <w:rFonts w:asciiTheme="majorHAnsi" w:hAnsiTheme="majorHAnsi"/>
        </w:rPr>
      </w:pPr>
      <w:r>
        <w:rPr>
          <w:rFonts w:asciiTheme="majorHAnsi" w:hAnsiTheme="majorHAnsi"/>
        </w:rPr>
        <w:tab/>
      </w:r>
      <w:r w:rsidRPr="000F6760">
        <w:rPr>
          <w:rFonts w:asciiTheme="majorHAnsi" w:hAnsiTheme="majorHAnsi"/>
        </w:rPr>
        <w:t>Synthèse méthodique</w:t>
      </w:r>
    </w:p>
    <w:p w:rsidR="00ED6ED5" w:rsidRPr="00527203" w:rsidRDefault="00ED6ED5" w:rsidP="00ED6ED5">
      <w:pPr>
        <w:pStyle w:val="Paragraphedeliste"/>
        <w:tabs>
          <w:tab w:val="left" w:pos="2368"/>
        </w:tabs>
        <w:spacing w:line="240" w:lineRule="auto"/>
        <w:ind w:left="0"/>
        <w:jc w:val="both"/>
        <w:rPr>
          <w:rFonts w:asciiTheme="majorHAnsi" w:hAnsiTheme="majorHAnsi"/>
          <w:sz w:val="16"/>
          <w:szCs w:val="16"/>
        </w:rPr>
      </w:pPr>
      <w:r w:rsidRPr="00527203">
        <w:rPr>
          <w:rFonts w:asciiTheme="majorHAnsi" w:hAnsiTheme="majorHAnsi"/>
          <w:sz w:val="16"/>
          <w:szCs w:val="16"/>
        </w:rPr>
        <w:t xml:space="preserve"> </w:t>
      </w:r>
    </w:p>
    <w:p w:rsidR="00ED6ED5" w:rsidRPr="000F6760" w:rsidRDefault="00ED6ED5" w:rsidP="00ED6ED5">
      <w:pPr>
        <w:pStyle w:val="Paragraphedeliste"/>
        <w:tabs>
          <w:tab w:val="left" w:pos="2368"/>
        </w:tabs>
        <w:ind w:left="0"/>
        <w:jc w:val="both"/>
        <w:rPr>
          <w:rFonts w:asciiTheme="majorHAnsi" w:hAnsiTheme="majorHAnsi"/>
        </w:rPr>
      </w:pPr>
      <w:r w:rsidRPr="000F6760">
        <w:rPr>
          <w:rFonts w:asciiTheme="majorHAnsi" w:hAnsiTheme="majorHAnsi"/>
        </w:rPr>
        <w:t>Sources consultées</w:t>
      </w:r>
    </w:p>
    <w:p w:rsidR="00ED6ED5" w:rsidRPr="000F6760" w:rsidRDefault="00ED6ED5" w:rsidP="00ED6ED5">
      <w:pPr>
        <w:pStyle w:val="Paragraphedeliste"/>
        <w:tabs>
          <w:tab w:val="left" w:pos="2368"/>
        </w:tabs>
        <w:ind w:left="284"/>
        <w:jc w:val="both"/>
        <w:rPr>
          <w:rFonts w:asciiTheme="majorHAnsi" w:hAnsiTheme="majorHAnsi"/>
        </w:rPr>
      </w:pPr>
      <w:r w:rsidRPr="000F6760">
        <w:rPr>
          <w:rFonts w:asciiTheme="majorHAnsi" w:hAnsiTheme="majorHAnsi"/>
        </w:rPr>
        <w:t>Pubmed (1988 à juillet 2006)</w:t>
      </w:r>
    </w:p>
    <w:p w:rsidR="00ED6ED5" w:rsidRPr="000F6760" w:rsidRDefault="00634C4B" w:rsidP="00ED6ED5">
      <w:pPr>
        <w:pStyle w:val="Paragraphedeliste"/>
        <w:tabs>
          <w:tab w:val="left" w:pos="2368"/>
        </w:tabs>
        <w:ind w:left="284"/>
        <w:jc w:val="both"/>
        <w:rPr>
          <w:rFonts w:asciiTheme="majorHAnsi" w:hAnsiTheme="majorHAnsi"/>
        </w:rPr>
      </w:pPr>
      <w:r w:rsidRPr="000F6760">
        <w:rPr>
          <w:rFonts w:asciiTheme="majorHAnsi" w:hAnsiTheme="majorHAnsi"/>
        </w:rPr>
        <w:t>Études</w:t>
      </w:r>
      <w:r w:rsidR="00ED6ED5" w:rsidRPr="000F6760">
        <w:rPr>
          <w:rFonts w:asciiTheme="majorHAnsi" w:hAnsiTheme="majorHAnsi"/>
        </w:rPr>
        <w:t xml:space="preserve"> pertinentes identifiées par les agences de médicaments aux E.-U. et R.-U.</w:t>
      </w:r>
    </w:p>
    <w:p w:rsidR="00ED6ED5" w:rsidRPr="000F6760" w:rsidRDefault="00634C4B" w:rsidP="00ED6ED5">
      <w:pPr>
        <w:pStyle w:val="Paragraphedeliste"/>
        <w:tabs>
          <w:tab w:val="left" w:pos="2368"/>
        </w:tabs>
        <w:ind w:left="284"/>
        <w:jc w:val="both"/>
        <w:rPr>
          <w:rFonts w:asciiTheme="majorHAnsi" w:hAnsiTheme="majorHAnsi"/>
        </w:rPr>
      </w:pPr>
      <w:r w:rsidRPr="000F6760">
        <w:rPr>
          <w:rFonts w:asciiTheme="majorHAnsi" w:hAnsiTheme="majorHAnsi"/>
        </w:rPr>
        <w:t>Résumés</w:t>
      </w:r>
      <w:r w:rsidR="00ED6ED5" w:rsidRPr="000F6760">
        <w:rPr>
          <w:rFonts w:asciiTheme="majorHAnsi" w:hAnsiTheme="majorHAnsi"/>
        </w:rPr>
        <w:t xml:space="preserve"> de réunions scientifiques publiés</w:t>
      </w:r>
    </w:p>
    <w:p w:rsidR="00ED6ED5" w:rsidRPr="000F6760" w:rsidRDefault="00634C4B" w:rsidP="00ED6ED5">
      <w:pPr>
        <w:pStyle w:val="Paragraphedeliste"/>
        <w:tabs>
          <w:tab w:val="left" w:pos="2368"/>
        </w:tabs>
        <w:ind w:left="284"/>
        <w:jc w:val="both"/>
        <w:rPr>
          <w:rFonts w:asciiTheme="majorHAnsi" w:hAnsiTheme="majorHAnsi"/>
        </w:rPr>
      </w:pPr>
      <w:r w:rsidRPr="000F6760">
        <w:rPr>
          <w:rFonts w:asciiTheme="majorHAnsi" w:hAnsiTheme="majorHAnsi"/>
        </w:rPr>
        <w:t>Registres</w:t>
      </w:r>
      <w:r w:rsidR="00ED6ED5" w:rsidRPr="000F6760">
        <w:rPr>
          <w:rFonts w:asciiTheme="majorHAnsi" w:hAnsiTheme="majorHAnsi"/>
        </w:rPr>
        <w:t xml:space="preserve"> d’études cliniques et auteurs.</w:t>
      </w:r>
    </w:p>
    <w:p w:rsidR="00ED6ED5" w:rsidRPr="000F6760" w:rsidRDefault="00ED6ED5" w:rsidP="00ED6ED5">
      <w:pPr>
        <w:pStyle w:val="Paragraphedeliste"/>
        <w:tabs>
          <w:tab w:val="left" w:pos="2368"/>
        </w:tabs>
        <w:ind w:left="0"/>
        <w:jc w:val="both"/>
        <w:rPr>
          <w:rFonts w:asciiTheme="majorHAnsi" w:hAnsiTheme="majorHAnsi"/>
        </w:rPr>
      </w:pPr>
      <w:r w:rsidRPr="000F6760">
        <w:rPr>
          <w:rFonts w:asciiTheme="majorHAnsi" w:hAnsiTheme="majorHAnsi"/>
        </w:rPr>
        <w:t>Etudes sélectionnées</w:t>
      </w:r>
    </w:p>
    <w:p w:rsidR="00ED6ED5" w:rsidRPr="000F6760" w:rsidRDefault="00634C4B" w:rsidP="00ED6ED5">
      <w:pPr>
        <w:pStyle w:val="Paragraphedeliste"/>
        <w:tabs>
          <w:tab w:val="left" w:pos="284"/>
          <w:tab w:val="left" w:pos="2368"/>
        </w:tabs>
        <w:ind w:left="284"/>
        <w:jc w:val="both"/>
        <w:rPr>
          <w:rFonts w:asciiTheme="majorHAnsi" w:hAnsiTheme="majorHAnsi"/>
        </w:rPr>
      </w:pPr>
      <w:r>
        <w:rPr>
          <w:rFonts w:asciiTheme="majorHAnsi" w:hAnsiTheme="majorHAnsi"/>
        </w:rPr>
        <w:t>E</w:t>
      </w:r>
      <w:r w:rsidR="00ED6ED5" w:rsidRPr="000F6760">
        <w:rPr>
          <w:rFonts w:asciiTheme="majorHAnsi" w:hAnsiTheme="majorHAnsi"/>
        </w:rPr>
        <w:t>tudes cliniques randomisées publiées ou non, comparant un antidépresseur de seconde génération (non tricyclique ou IMAO) à un placebo, dans l’indication trouble dépressif majeur (TDM), trouble obsessionnel compulsif (TOC) ou autre trouble anxieux</w:t>
      </w:r>
    </w:p>
    <w:p w:rsidR="00ED6ED5" w:rsidRPr="000F6760" w:rsidRDefault="00634C4B" w:rsidP="00ED6ED5">
      <w:pPr>
        <w:pStyle w:val="Paragraphedeliste"/>
        <w:tabs>
          <w:tab w:val="left" w:pos="284"/>
          <w:tab w:val="left" w:pos="2368"/>
        </w:tabs>
        <w:ind w:left="284"/>
        <w:jc w:val="both"/>
        <w:rPr>
          <w:rFonts w:asciiTheme="majorHAnsi" w:hAnsiTheme="majorHAnsi"/>
        </w:rPr>
      </w:pPr>
      <w:r>
        <w:rPr>
          <w:rFonts w:asciiTheme="majorHAnsi" w:hAnsiTheme="majorHAnsi"/>
        </w:rPr>
        <w:t>I</w:t>
      </w:r>
      <w:r w:rsidR="00ED6ED5" w:rsidRPr="000F6760">
        <w:rPr>
          <w:rFonts w:asciiTheme="majorHAnsi" w:hAnsiTheme="majorHAnsi"/>
        </w:rPr>
        <w:t xml:space="preserve">nclusion : 27 </w:t>
      </w:r>
      <w:proofErr w:type="spellStart"/>
      <w:r w:rsidR="00ED6ED5" w:rsidRPr="000F6760">
        <w:rPr>
          <w:rFonts w:asciiTheme="majorHAnsi" w:hAnsiTheme="majorHAnsi"/>
        </w:rPr>
        <w:t>RCTs</w:t>
      </w:r>
      <w:proofErr w:type="spellEnd"/>
      <w:r w:rsidR="00ED6ED5" w:rsidRPr="000F6760">
        <w:rPr>
          <w:rFonts w:asciiTheme="majorHAnsi" w:hAnsiTheme="majorHAnsi"/>
        </w:rPr>
        <w:t>, 15 pour TDM (n=3 430), 6 pour TOC (n=718) et 6 pour autres troubles anxieux (n=1 162)</w:t>
      </w:r>
    </w:p>
    <w:p w:rsidR="00ED6ED5" w:rsidRPr="000F6760" w:rsidRDefault="00634C4B" w:rsidP="00ED6ED5">
      <w:pPr>
        <w:pStyle w:val="Paragraphedeliste"/>
        <w:tabs>
          <w:tab w:val="left" w:pos="284"/>
          <w:tab w:val="left" w:pos="2368"/>
        </w:tabs>
        <w:ind w:left="284"/>
        <w:jc w:val="both"/>
        <w:rPr>
          <w:rFonts w:asciiTheme="majorHAnsi" w:hAnsiTheme="majorHAnsi"/>
        </w:rPr>
      </w:pPr>
      <w:r>
        <w:rPr>
          <w:rFonts w:asciiTheme="majorHAnsi" w:hAnsiTheme="majorHAnsi"/>
        </w:rPr>
        <w:t>E</w:t>
      </w:r>
      <w:r w:rsidR="00ED6ED5" w:rsidRPr="000F6760">
        <w:rPr>
          <w:rFonts w:asciiTheme="majorHAnsi" w:hAnsiTheme="majorHAnsi"/>
        </w:rPr>
        <w:t>xclusion : études avec permutation, avec seulement un comparateur actif, avec traitement comportemental cognitif ajouté, avec recrutement non terminé ou dont le premier auteur ne peut livrer les données</w:t>
      </w:r>
    </w:p>
    <w:p w:rsidR="00ED6ED5" w:rsidRPr="000F6760" w:rsidRDefault="00634C4B" w:rsidP="00ED6ED5">
      <w:pPr>
        <w:pStyle w:val="Paragraphedeliste"/>
        <w:tabs>
          <w:tab w:val="left" w:pos="284"/>
          <w:tab w:val="left" w:pos="2368"/>
        </w:tabs>
        <w:ind w:left="284"/>
        <w:jc w:val="both"/>
        <w:rPr>
          <w:rFonts w:asciiTheme="majorHAnsi" w:hAnsiTheme="majorHAnsi"/>
        </w:rPr>
      </w:pPr>
      <w:r>
        <w:rPr>
          <w:rFonts w:asciiTheme="majorHAnsi" w:hAnsiTheme="majorHAnsi"/>
        </w:rPr>
        <w:t>D</w:t>
      </w:r>
      <w:r w:rsidR="00ED6ED5" w:rsidRPr="000F6760">
        <w:rPr>
          <w:rFonts w:asciiTheme="majorHAnsi" w:hAnsiTheme="majorHAnsi"/>
        </w:rPr>
        <w:t>urée moyenne d’étude : 8 semaines pour TDM, 11 semaines pour les autres.</w:t>
      </w:r>
    </w:p>
    <w:p w:rsidR="00ED6ED5" w:rsidRPr="000F6760" w:rsidRDefault="00ED6ED5" w:rsidP="00ED6ED5">
      <w:pPr>
        <w:pStyle w:val="Paragraphedeliste"/>
        <w:tabs>
          <w:tab w:val="left" w:pos="2368"/>
        </w:tabs>
        <w:ind w:left="0"/>
        <w:jc w:val="both"/>
        <w:rPr>
          <w:rFonts w:asciiTheme="majorHAnsi" w:hAnsiTheme="majorHAnsi"/>
        </w:rPr>
      </w:pPr>
      <w:r w:rsidRPr="000F6760">
        <w:rPr>
          <w:rFonts w:asciiTheme="majorHAnsi" w:hAnsiTheme="majorHAnsi"/>
        </w:rPr>
        <w:t>Population étudiée</w:t>
      </w:r>
    </w:p>
    <w:p w:rsidR="00ED6ED5" w:rsidRPr="000F6760" w:rsidRDefault="00ED6ED5" w:rsidP="00ED6ED5">
      <w:pPr>
        <w:pStyle w:val="Paragraphedeliste"/>
        <w:tabs>
          <w:tab w:val="left" w:pos="2368"/>
        </w:tabs>
        <w:ind w:left="284"/>
        <w:jc w:val="both"/>
        <w:rPr>
          <w:rFonts w:asciiTheme="majorHAnsi" w:hAnsiTheme="majorHAnsi"/>
        </w:rPr>
      </w:pPr>
      <w:r w:rsidRPr="000F6760">
        <w:rPr>
          <w:rFonts w:asciiTheme="majorHAnsi" w:hAnsiTheme="majorHAnsi"/>
        </w:rPr>
        <w:t>Patients de moins de 19 ans.</w:t>
      </w:r>
    </w:p>
    <w:p w:rsidR="00ED6ED5" w:rsidRPr="00527203" w:rsidRDefault="00ED6ED5" w:rsidP="00ED6ED5">
      <w:pPr>
        <w:pStyle w:val="Paragraphedeliste"/>
        <w:tabs>
          <w:tab w:val="left" w:pos="2368"/>
        </w:tabs>
        <w:spacing w:line="240" w:lineRule="auto"/>
        <w:ind w:left="0"/>
        <w:jc w:val="both"/>
        <w:rPr>
          <w:rFonts w:asciiTheme="majorHAnsi" w:hAnsiTheme="majorHAnsi"/>
          <w:b/>
          <w:sz w:val="16"/>
          <w:szCs w:val="16"/>
        </w:rPr>
      </w:pPr>
    </w:p>
    <w:p w:rsidR="00ED6ED5" w:rsidRPr="000F6760" w:rsidRDefault="00ED6ED5" w:rsidP="00ED6ED5">
      <w:pPr>
        <w:pStyle w:val="Paragraphedeliste"/>
        <w:tabs>
          <w:tab w:val="left" w:pos="2368"/>
        </w:tabs>
        <w:spacing w:before="120"/>
        <w:ind w:left="0"/>
        <w:jc w:val="both"/>
        <w:rPr>
          <w:rFonts w:asciiTheme="majorHAnsi" w:hAnsiTheme="majorHAnsi"/>
          <w:b/>
        </w:rPr>
      </w:pPr>
      <w:r w:rsidRPr="000F6760">
        <w:rPr>
          <w:rFonts w:asciiTheme="majorHAnsi" w:hAnsiTheme="majorHAnsi"/>
          <w:b/>
        </w:rPr>
        <w:t>Mesure des résultats</w:t>
      </w:r>
    </w:p>
    <w:p w:rsidR="00ED6ED5" w:rsidRPr="000F6760" w:rsidRDefault="00634C4B" w:rsidP="00ED6ED5">
      <w:pPr>
        <w:pStyle w:val="Paragraphedeliste"/>
        <w:tabs>
          <w:tab w:val="left" w:pos="2368"/>
        </w:tabs>
        <w:ind w:left="284"/>
        <w:jc w:val="both"/>
        <w:rPr>
          <w:rFonts w:asciiTheme="majorHAnsi" w:hAnsiTheme="majorHAnsi"/>
        </w:rPr>
      </w:pPr>
      <w:r w:rsidRPr="000F6760">
        <w:rPr>
          <w:rFonts w:asciiTheme="majorHAnsi" w:hAnsiTheme="majorHAnsi"/>
        </w:rPr>
        <w:t>Pourcentage</w:t>
      </w:r>
      <w:r w:rsidR="00ED6ED5" w:rsidRPr="000F6760">
        <w:rPr>
          <w:rFonts w:asciiTheme="majorHAnsi" w:hAnsiTheme="majorHAnsi"/>
        </w:rPr>
        <w:t xml:space="preserve"> de répondeurs</w:t>
      </w:r>
    </w:p>
    <w:p w:rsidR="00ED6ED5" w:rsidRPr="000F6760" w:rsidRDefault="00634C4B" w:rsidP="00ED6ED5">
      <w:pPr>
        <w:pStyle w:val="Paragraphedeliste"/>
        <w:tabs>
          <w:tab w:val="left" w:pos="2368"/>
        </w:tabs>
        <w:ind w:left="284"/>
        <w:jc w:val="both"/>
        <w:rPr>
          <w:rFonts w:asciiTheme="majorHAnsi" w:hAnsiTheme="majorHAnsi"/>
        </w:rPr>
      </w:pPr>
      <w:r w:rsidRPr="000F6760">
        <w:rPr>
          <w:rFonts w:asciiTheme="majorHAnsi" w:hAnsiTheme="majorHAnsi"/>
        </w:rPr>
        <w:t>Évolution</w:t>
      </w:r>
      <w:r w:rsidR="00ED6ED5" w:rsidRPr="000F6760">
        <w:rPr>
          <w:rFonts w:asciiTheme="majorHAnsi" w:hAnsiTheme="majorHAnsi"/>
        </w:rPr>
        <w:t xml:space="preserve"> des symptômes (fin d’étude par rapport au début)</w:t>
      </w:r>
    </w:p>
    <w:p w:rsidR="00ED6ED5" w:rsidRPr="000F6760" w:rsidRDefault="00634C4B" w:rsidP="00ED6ED5">
      <w:pPr>
        <w:pStyle w:val="Paragraphedeliste"/>
        <w:tabs>
          <w:tab w:val="left" w:pos="2368"/>
        </w:tabs>
        <w:ind w:left="284"/>
        <w:jc w:val="both"/>
        <w:rPr>
          <w:rFonts w:asciiTheme="majorHAnsi" w:hAnsiTheme="majorHAnsi"/>
        </w:rPr>
      </w:pPr>
      <w:r w:rsidRPr="000F6760">
        <w:rPr>
          <w:rFonts w:asciiTheme="majorHAnsi" w:hAnsiTheme="majorHAnsi"/>
        </w:rPr>
        <w:t>Critère</w:t>
      </w:r>
      <w:r w:rsidR="00ED6ED5" w:rsidRPr="000F6760">
        <w:rPr>
          <w:rFonts w:asciiTheme="majorHAnsi" w:hAnsiTheme="majorHAnsi"/>
        </w:rPr>
        <w:t xml:space="preserve"> primaire de risque : idéation suicidaire ou tentative de suicide (ou préparation)</w:t>
      </w:r>
    </w:p>
    <w:p w:rsidR="00ED6ED5" w:rsidRPr="000F6760" w:rsidRDefault="00634C4B" w:rsidP="00ED6ED5">
      <w:pPr>
        <w:pStyle w:val="Paragraphedeliste"/>
        <w:tabs>
          <w:tab w:val="left" w:pos="2368"/>
        </w:tabs>
        <w:ind w:left="284"/>
        <w:jc w:val="both"/>
        <w:rPr>
          <w:rFonts w:asciiTheme="majorHAnsi" w:hAnsiTheme="majorHAnsi"/>
        </w:rPr>
      </w:pPr>
      <w:r w:rsidRPr="000F6760">
        <w:rPr>
          <w:rFonts w:asciiTheme="majorHAnsi" w:hAnsiTheme="majorHAnsi"/>
        </w:rPr>
        <w:t>Analyse</w:t>
      </w:r>
      <w:r w:rsidR="00ED6ED5" w:rsidRPr="000F6760">
        <w:rPr>
          <w:rFonts w:asciiTheme="majorHAnsi" w:hAnsiTheme="majorHAnsi"/>
        </w:rPr>
        <w:t xml:space="preserve"> en modèle d’effets aléatoires ; NST et NNN calculés.</w:t>
      </w:r>
    </w:p>
    <w:p w:rsidR="00ED6ED5" w:rsidRPr="000F6760" w:rsidRDefault="00ED6ED5" w:rsidP="00863055">
      <w:pPr>
        <w:pStyle w:val="Paragraphedeliste"/>
        <w:tabs>
          <w:tab w:val="left" w:pos="2368"/>
        </w:tabs>
        <w:spacing w:line="240" w:lineRule="auto"/>
        <w:ind w:left="0"/>
        <w:jc w:val="both"/>
        <w:rPr>
          <w:rFonts w:asciiTheme="majorHAnsi" w:hAnsiTheme="majorHAnsi"/>
          <w:b/>
        </w:rPr>
      </w:pPr>
      <w:r w:rsidRPr="000F6760">
        <w:rPr>
          <w:rFonts w:asciiTheme="majorHAnsi" w:hAnsiTheme="majorHAnsi"/>
        </w:rPr>
        <w:lastRenderedPageBreak/>
        <w:t xml:space="preserve"> </w:t>
      </w:r>
      <w:r w:rsidRPr="000F6760">
        <w:rPr>
          <w:rFonts w:asciiTheme="majorHAnsi" w:hAnsiTheme="majorHAnsi"/>
          <w:b/>
        </w:rPr>
        <w:t>Résultats</w:t>
      </w:r>
    </w:p>
    <w:p w:rsidR="00ED6ED5" w:rsidRPr="000F6760" w:rsidRDefault="00ED6ED5" w:rsidP="00ED6ED5">
      <w:pPr>
        <w:pStyle w:val="Paragraphedeliste"/>
        <w:tabs>
          <w:tab w:val="left" w:pos="284"/>
          <w:tab w:val="left" w:pos="2368"/>
        </w:tabs>
        <w:ind w:left="284"/>
        <w:jc w:val="both"/>
        <w:rPr>
          <w:rFonts w:asciiTheme="majorHAnsi" w:hAnsiTheme="majorHAnsi"/>
        </w:rPr>
      </w:pPr>
      <w:r>
        <w:rPr>
          <w:rFonts w:asciiTheme="majorHAnsi" w:hAnsiTheme="majorHAnsi"/>
        </w:rPr>
        <w:t>-</w:t>
      </w:r>
      <w:r w:rsidRPr="000F6760">
        <w:rPr>
          <w:rFonts w:asciiTheme="majorHAnsi" w:hAnsiTheme="majorHAnsi"/>
        </w:rPr>
        <w:t>TDM : répondeurs 61% pour les antidépresseurs, 50% pour le placebo, différence sommée de 11% (IC à 95% de 7 à 15) ; NST 10 (7 à 15) ; suicides et tentatives de suicide 2% pour les antidépresseurs, 1% pour le placebo, différence de 1% (-0,1 à 2), NNN 112</w:t>
      </w:r>
    </w:p>
    <w:p w:rsidR="00ED6ED5" w:rsidRPr="000F6760" w:rsidRDefault="00ED6ED5" w:rsidP="00ED6ED5">
      <w:pPr>
        <w:pStyle w:val="Paragraphedeliste"/>
        <w:tabs>
          <w:tab w:val="left" w:pos="284"/>
          <w:tab w:val="left" w:pos="2368"/>
        </w:tabs>
        <w:ind w:left="284"/>
        <w:jc w:val="both"/>
        <w:rPr>
          <w:rFonts w:asciiTheme="majorHAnsi" w:hAnsiTheme="majorHAnsi"/>
        </w:rPr>
      </w:pPr>
      <w:r>
        <w:rPr>
          <w:rFonts w:asciiTheme="majorHAnsi" w:hAnsiTheme="majorHAnsi"/>
        </w:rPr>
        <w:t>-</w:t>
      </w:r>
      <w:r w:rsidRPr="000F6760">
        <w:rPr>
          <w:rFonts w:asciiTheme="majorHAnsi" w:hAnsiTheme="majorHAnsi"/>
        </w:rPr>
        <w:t>TOC : répondeurs 52% pour les inhibiteurs sélectifs de la recapture de la sérotonine (ISRS), 32% pour le placebo, différence sommée de 20% (13 à 27) ; NST 6 (4 à 8) ; suicides et tentatives de suicide : différence de 0,5% (-1 à 2), NNN 200</w:t>
      </w:r>
    </w:p>
    <w:p w:rsidR="00ED6ED5" w:rsidRPr="000F6760" w:rsidRDefault="00ED6ED5" w:rsidP="00634C4B">
      <w:pPr>
        <w:pStyle w:val="Paragraphedeliste"/>
        <w:tabs>
          <w:tab w:val="left" w:pos="284"/>
          <w:tab w:val="left" w:pos="2368"/>
        </w:tabs>
        <w:ind w:left="284"/>
        <w:jc w:val="both"/>
        <w:rPr>
          <w:rFonts w:asciiTheme="majorHAnsi" w:hAnsiTheme="majorHAnsi"/>
        </w:rPr>
      </w:pPr>
      <w:r>
        <w:rPr>
          <w:rFonts w:asciiTheme="majorHAnsi" w:hAnsiTheme="majorHAnsi"/>
        </w:rPr>
        <w:t>-</w:t>
      </w:r>
      <w:r w:rsidR="00634C4B">
        <w:rPr>
          <w:rFonts w:asciiTheme="majorHAnsi" w:hAnsiTheme="majorHAnsi"/>
        </w:rPr>
        <w:t>A</w:t>
      </w:r>
      <w:r w:rsidRPr="000F6760">
        <w:rPr>
          <w:rFonts w:asciiTheme="majorHAnsi" w:hAnsiTheme="majorHAnsi"/>
        </w:rPr>
        <w:t>utres troubles anxieux : répondeurs 69% pour les antidépresseurs, 39% pour le placebo, différence sommée de 37% (32 à 52) ; NST 3 (2 à 5) ; forte hétérogénéité ; suicides : 1% pour les ISRS, 0,2% pour le placebo, différence de 0,7% (-0,4 à 2), NNN 143</w:t>
      </w:r>
    </w:p>
    <w:p w:rsidR="00ED6ED5" w:rsidRPr="000F6760" w:rsidRDefault="00ED6ED5" w:rsidP="00634C4B">
      <w:pPr>
        <w:pStyle w:val="Paragraphedeliste"/>
        <w:tabs>
          <w:tab w:val="left" w:pos="284"/>
          <w:tab w:val="left" w:pos="2368"/>
        </w:tabs>
        <w:ind w:left="284"/>
        <w:jc w:val="both"/>
        <w:rPr>
          <w:rFonts w:asciiTheme="majorHAnsi" w:hAnsiTheme="majorHAnsi"/>
        </w:rPr>
      </w:pPr>
      <w:r>
        <w:rPr>
          <w:rFonts w:asciiTheme="majorHAnsi" w:hAnsiTheme="majorHAnsi"/>
        </w:rPr>
        <w:t>-</w:t>
      </w:r>
      <w:r w:rsidR="00634C4B">
        <w:rPr>
          <w:rFonts w:asciiTheme="majorHAnsi" w:hAnsiTheme="majorHAnsi"/>
        </w:rPr>
        <w:t>P</w:t>
      </w:r>
      <w:r w:rsidRPr="000F6760">
        <w:rPr>
          <w:rFonts w:asciiTheme="majorHAnsi" w:hAnsiTheme="majorHAnsi"/>
        </w:rPr>
        <w:t>as de suicide réussi</w:t>
      </w:r>
      <w:r w:rsidR="00634C4B">
        <w:rPr>
          <w:rFonts w:asciiTheme="majorHAnsi" w:hAnsiTheme="majorHAnsi"/>
        </w:rPr>
        <w:t> :</w:t>
      </w:r>
      <w:r w:rsidRPr="000F6760">
        <w:rPr>
          <w:rFonts w:asciiTheme="majorHAnsi" w:hAnsiTheme="majorHAnsi"/>
        </w:rPr>
        <w:t xml:space="preserve"> pour les adolescents, risque suicidaire plus important (groupes placebo) en cas de TDM que pour les autres indications ; pour les enfants, risque accru uniquement pour la fluoxétine versus placebo.</w:t>
      </w:r>
    </w:p>
    <w:p w:rsidR="00ED6ED5" w:rsidRPr="00527203" w:rsidRDefault="00ED6ED5" w:rsidP="00ED6ED5">
      <w:pPr>
        <w:pStyle w:val="Paragraphedeliste"/>
        <w:tabs>
          <w:tab w:val="left" w:pos="2368"/>
        </w:tabs>
        <w:spacing w:line="240" w:lineRule="auto"/>
        <w:ind w:left="0"/>
        <w:jc w:val="both"/>
        <w:rPr>
          <w:rFonts w:asciiTheme="majorHAnsi" w:hAnsiTheme="majorHAnsi"/>
          <w:b/>
          <w:sz w:val="16"/>
          <w:szCs w:val="16"/>
        </w:rPr>
      </w:pPr>
    </w:p>
    <w:p w:rsidR="00ED6ED5" w:rsidRPr="000F6760" w:rsidRDefault="00ED6ED5" w:rsidP="00ED6ED5">
      <w:pPr>
        <w:pStyle w:val="Paragraphedeliste"/>
        <w:tabs>
          <w:tab w:val="left" w:pos="2368"/>
        </w:tabs>
        <w:ind w:left="0"/>
        <w:jc w:val="both"/>
        <w:rPr>
          <w:rFonts w:asciiTheme="majorHAnsi" w:hAnsiTheme="majorHAnsi"/>
          <w:b/>
        </w:rPr>
      </w:pPr>
      <w:r w:rsidRPr="000F6760">
        <w:rPr>
          <w:rFonts w:asciiTheme="majorHAnsi" w:hAnsiTheme="majorHAnsi"/>
          <w:b/>
        </w:rPr>
        <w:t>Conclusion des auteurs</w:t>
      </w:r>
    </w:p>
    <w:p w:rsidR="00ED6ED5" w:rsidRPr="000F6760" w:rsidRDefault="00ED6ED5" w:rsidP="00ED6ED5">
      <w:pPr>
        <w:pStyle w:val="Paragraphedeliste"/>
        <w:tabs>
          <w:tab w:val="left" w:pos="2368"/>
        </w:tabs>
        <w:ind w:left="284"/>
        <w:jc w:val="both"/>
        <w:rPr>
          <w:rFonts w:asciiTheme="majorHAnsi" w:hAnsiTheme="majorHAnsi"/>
        </w:rPr>
      </w:pPr>
      <w:r w:rsidRPr="000F6760">
        <w:rPr>
          <w:rFonts w:asciiTheme="majorHAnsi" w:hAnsiTheme="majorHAnsi"/>
        </w:rPr>
        <w:t>Les auteurs concluent que, versus placebo, les ISRS présentent une efficacité limitée dans le traitement d’un trouble dépressif majeur, intermédiaire en cas de trouble obsessionnel compulsif et plus importante en présence d’un autre trouble anxieux chez un enfant ou un jeune de moins de 19 ans.</w:t>
      </w:r>
    </w:p>
    <w:p w:rsidR="00ED6ED5" w:rsidRPr="000F6760" w:rsidRDefault="00ED6ED5" w:rsidP="00ED6ED5">
      <w:pPr>
        <w:pStyle w:val="Paragraphedeliste"/>
        <w:tabs>
          <w:tab w:val="left" w:pos="2368"/>
        </w:tabs>
        <w:ind w:left="0"/>
        <w:jc w:val="both"/>
        <w:rPr>
          <w:rFonts w:asciiTheme="majorHAnsi" w:hAnsiTheme="majorHAnsi"/>
          <w:b/>
        </w:rPr>
      </w:pPr>
      <w:r w:rsidRPr="000F6760">
        <w:rPr>
          <w:rFonts w:asciiTheme="majorHAnsi" w:hAnsiTheme="majorHAnsi"/>
          <w:b/>
        </w:rPr>
        <w:t xml:space="preserve">Financement </w:t>
      </w:r>
    </w:p>
    <w:p w:rsidR="00ED6ED5" w:rsidRDefault="00ED6ED5" w:rsidP="00ED6ED5">
      <w:pPr>
        <w:pStyle w:val="Paragraphedeliste"/>
        <w:tabs>
          <w:tab w:val="left" w:pos="2368"/>
        </w:tabs>
        <w:ind w:left="284"/>
        <w:jc w:val="both"/>
        <w:rPr>
          <w:rFonts w:asciiTheme="majorHAnsi" w:hAnsiTheme="majorHAnsi"/>
        </w:rPr>
      </w:pPr>
      <w:r w:rsidRPr="000F6760">
        <w:rPr>
          <w:rFonts w:asciiTheme="majorHAnsi" w:hAnsiTheme="majorHAnsi"/>
        </w:rPr>
        <w:t>National Institute of Mental Health qui n’a joué aucun rôle dans les différentes étapes de cette recherche.</w:t>
      </w:r>
    </w:p>
    <w:p w:rsidR="00ED6ED5" w:rsidRPr="000F6760" w:rsidRDefault="00ED6ED5" w:rsidP="00ED6ED5">
      <w:pPr>
        <w:pStyle w:val="Paragraphedeliste"/>
        <w:tabs>
          <w:tab w:val="left" w:pos="2368"/>
        </w:tabs>
        <w:spacing w:line="240" w:lineRule="auto"/>
        <w:ind w:left="0"/>
        <w:jc w:val="both"/>
        <w:rPr>
          <w:rFonts w:asciiTheme="majorHAnsi" w:hAnsiTheme="majorHAnsi"/>
          <w:b/>
        </w:rPr>
      </w:pPr>
      <w:r w:rsidRPr="000F6760">
        <w:rPr>
          <w:rFonts w:asciiTheme="majorHAnsi" w:hAnsiTheme="majorHAnsi"/>
        </w:rPr>
        <w:t xml:space="preserve"> </w:t>
      </w:r>
      <w:r w:rsidRPr="000F6760">
        <w:rPr>
          <w:rFonts w:asciiTheme="majorHAnsi" w:hAnsiTheme="majorHAnsi"/>
          <w:b/>
        </w:rPr>
        <w:t>Conflits d’intérêt</w:t>
      </w:r>
    </w:p>
    <w:p w:rsidR="00ED6ED5" w:rsidRPr="000F6760" w:rsidRDefault="00ED6ED5" w:rsidP="00ED6ED5">
      <w:pPr>
        <w:pStyle w:val="Paragraphedeliste"/>
        <w:tabs>
          <w:tab w:val="left" w:pos="2368"/>
        </w:tabs>
        <w:ind w:left="284"/>
        <w:jc w:val="both"/>
        <w:rPr>
          <w:rFonts w:asciiTheme="majorHAnsi" w:hAnsiTheme="majorHAnsi"/>
        </w:rPr>
      </w:pPr>
      <w:r w:rsidRPr="000F6760">
        <w:rPr>
          <w:rFonts w:asciiTheme="majorHAnsi" w:hAnsiTheme="majorHAnsi"/>
        </w:rPr>
        <w:t>Différents auteurs mentionnent avoir pris part à des études financées par des producteurs d’antidépresseurs.</w:t>
      </w:r>
    </w:p>
    <w:p w:rsidR="00ED6ED5" w:rsidRPr="000F6760" w:rsidRDefault="00ED6ED5" w:rsidP="00ED6ED5">
      <w:pPr>
        <w:pStyle w:val="Paragraphedeliste"/>
        <w:tabs>
          <w:tab w:val="left" w:pos="2368"/>
        </w:tabs>
        <w:ind w:left="0"/>
        <w:jc w:val="both"/>
        <w:rPr>
          <w:rFonts w:asciiTheme="majorHAnsi" w:hAnsiTheme="majorHAnsi"/>
        </w:rPr>
      </w:pPr>
    </w:p>
    <w:p w:rsidR="00ED6ED5" w:rsidRPr="004F1540" w:rsidRDefault="00ED6ED5" w:rsidP="00ED6ED5">
      <w:pPr>
        <w:pStyle w:val="Paragraphedeliste"/>
        <w:tabs>
          <w:tab w:val="left" w:pos="2368"/>
        </w:tabs>
        <w:spacing w:after="120"/>
        <w:ind w:left="0"/>
        <w:jc w:val="both"/>
        <w:rPr>
          <w:rFonts w:asciiTheme="majorHAnsi" w:hAnsiTheme="majorHAnsi"/>
          <w:b/>
        </w:rPr>
      </w:pPr>
      <w:r w:rsidRPr="004F1540">
        <w:rPr>
          <w:rFonts w:asciiTheme="majorHAnsi" w:hAnsiTheme="majorHAnsi"/>
          <w:b/>
        </w:rPr>
        <w:t xml:space="preserve"> DISCUSSION</w:t>
      </w:r>
    </w:p>
    <w:p w:rsidR="00ED6ED5" w:rsidRPr="000F6760" w:rsidRDefault="00ED6ED5" w:rsidP="00ED6ED5">
      <w:pPr>
        <w:pStyle w:val="Paragraphedeliste"/>
        <w:tabs>
          <w:tab w:val="left" w:pos="2368"/>
        </w:tabs>
        <w:spacing w:before="120"/>
        <w:ind w:left="0"/>
        <w:jc w:val="both"/>
        <w:rPr>
          <w:rFonts w:asciiTheme="majorHAnsi" w:hAnsiTheme="majorHAnsi"/>
          <w:b/>
        </w:rPr>
      </w:pPr>
      <w:r w:rsidRPr="000F6760">
        <w:rPr>
          <w:rFonts w:asciiTheme="majorHAnsi" w:hAnsiTheme="majorHAnsi"/>
          <w:b/>
        </w:rPr>
        <w:t>Méthodologie</w:t>
      </w:r>
    </w:p>
    <w:p w:rsidR="00ED6ED5" w:rsidRPr="000F6760" w:rsidRDefault="00ED6ED5" w:rsidP="00ED6ED5">
      <w:pPr>
        <w:pStyle w:val="Paragraphedeliste"/>
        <w:tabs>
          <w:tab w:val="left" w:pos="2368"/>
        </w:tabs>
        <w:ind w:left="0"/>
        <w:jc w:val="both"/>
        <w:rPr>
          <w:rFonts w:asciiTheme="majorHAnsi" w:hAnsiTheme="majorHAnsi"/>
        </w:rPr>
      </w:pPr>
      <w:r w:rsidRPr="000F6760">
        <w:rPr>
          <w:rFonts w:asciiTheme="majorHAnsi" w:hAnsiTheme="majorHAnsi"/>
        </w:rPr>
        <w:t>Cette méta-analyse repose en grande partie sur les mêmes études que celles qui figurent dans le rapport de la FDA ; ses conclusions sont cependant quelque peu différentes. Les analyses portent sur 3 indications, ce qui est important, permettant une interprétation plus nuancée des observations : un traitement d’un trouble dépressif par un ISRS paraît moins bien scientifiquement étayé, surtout chez les jeunes enfants, que celui d’un autre trouble anxieux que le TOC. Une période de trouble dépressif plus prolongée chez un jeune péjore l’issue du traitement, ce qui plaide pour un diagnostic et un traitement (médicamenteux) précoces. Les troubles anxieux précèdent souvent une dépression chez les enfants et ces troubles semblent donc mieux répondre aux ISRS, arguments supplémentaires pour un diagnostic et un traitement rapides. L’âge module également l’issue du traitement des troubles anxieux, sans doute parce que les enfants les plus jeunes présentant des angoisses de séparation plus fréquentes semblent moins bien répondre aux ISRS. Les limites de l’étude restent importantes : l’exclusion, dans les études, des jeunes adultes et des enfants présentant un risque suicidaire marqué, affaiblit la validité méthodologique de l’estimation du deuxième critère de jugement primaire, le risque suicidaire (tentatives et idéation) ; l’inférence de ces résultats dans la pratique clinique est moins fiable. Il n’est cependant pas exclu qu’un traitement par antidépresseur actif à de (jeunes) patients à risque suicidaire élevé ne diminue ce risque. Dans les études originales, cet effet indésirable est rapporté spontanément et il n’est classifié qu’ensuite en idéation suicidaire, tentative de suicide ou préparation d’un suicide. Quel est l’objet de la mesure : réellement l’idéation et le comportement suicidaires induits par le médicament ou seulement l’impact du médicament sur la mention spontanée de cette idéation suicidaire ?</w:t>
      </w:r>
      <w:bookmarkStart w:id="0" w:name="_GoBack"/>
      <w:bookmarkEnd w:id="0"/>
    </w:p>
    <w:p w:rsidR="00ED6ED5" w:rsidRPr="000F6760" w:rsidRDefault="00ED6ED5" w:rsidP="00ED6ED5">
      <w:pPr>
        <w:pStyle w:val="Paragraphedeliste"/>
        <w:tabs>
          <w:tab w:val="left" w:pos="2368"/>
        </w:tabs>
        <w:ind w:left="0"/>
        <w:jc w:val="both"/>
        <w:rPr>
          <w:rFonts w:asciiTheme="majorHAnsi" w:hAnsiTheme="majorHAnsi"/>
          <w:b/>
        </w:rPr>
      </w:pPr>
      <w:r w:rsidRPr="000F6760">
        <w:rPr>
          <w:rFonts w:asciiTheme="majorHAnsi" w:hAnsiTheme="majorHAnsi"/>
          <w:b/>
        </w:rPr>
        <w:t>Autres études</w:t>
      </w:r>
    </w:p>
    <w:p w:rsidR="00ED6ED5" w:rsidRPr="000F6760" w:rsidRDefault="00ED6ED5" w:rsidP="00ED6ED5">
      <w:pPr>
        <w:pStyle w:val="Paragraphedeliste"/>
        <w:tabs>
          <w:tab w:val="left" w:pos="2368"/>
        </w:tabs>
        <w:ind w:left="0"/>
        <w:jc w:val="both"/>
        <w:rPr>
          <w:rFonts w:asciiTheme="majorHAnsi" w:hAnsiTheme="majorHAnsi"/>
        </w:rPr>
      </w:pPr>
      <w:r w:rsidRPr="000F6760">
        <w:rPr>
          <w:rFonts w:asciiTheme="majorHAnsi" w:hAnsiTheme="majorHAnsi"/>
        </w:rPr>
        <w:lastRenderedPageBreak/>
        <w:t>La discussion concernant un risque accru versus un rôle préventif des antidépresseurs en matière de comportement suicidaire est encore en cours. Des études d’observation et d’intervention apportent des résultats contradictoires sur la relation entre traitement et comportement suicidaire. Une étude cas-contrôles récente montre un risque suicidaire multiplié par 1,5 en cas de traitement par antidépresseur versus absence chez des enfants et des adolescents (1). Des critiques soulignent qu’une décade de diminution des chiffres de suicide chez les adolescents a pris fin en 2004 avec une augmentation de 18% par rapport à l’année précédente (2). La concordance dans le temps est cependant insuffisante pour établir un lien causal avec les avertissements de la FDA. Une enquête montre l’efficacité de cette mise en garde de la FDA : réduction significative de diagnostic de dépression chez l’enfant et de traitement par ISRS, principalement chez les pédiatres et les médecins de première ligne (3). De 1999 à 2004, le diagnostic de dépression chez l’enfant augmente de 3 à 5 pour 1 000 dans une grande cohorte (n=65 349) ; après les avertissements de la FDA, ce taux rétrograde aux valeurs observées en 1999. Le pourcentage de personnes déprimées ne recevant pas d’antidépresseurs est multiplié par 3 par rapport aux prévisions, avec une diminution de 60% des prescriptions d’ISRS. Une augmentation significative d’alternatives de traitements n’est pas observée. Une étude chez des adultes montre une évolution semblable (4).</w:t>
      </w:r>
    </w:p>
    <w:p w:rsidR="00ED6ED5" w:rsidRPr="000F6760" w:rsidRDefault="00ED6ED5" w:rsidP="00ED6ED5">
      <w:pPr>
        <w:pStyle w:val="Paragraphedeliste"/>
        <w:tabs>
          <w:tab w:val="left" w:pos="2368"/>
        </w:tabs>
        <w:ind w:left="0"/>
        <w:jc w:val="both"/>
        <w:rPr>
          <w:rFonts w:asciiTheme="majorHAnsi" w:hAnsiTheme="majorHAnsi"/>
          <w:b/>
        </w:rPr>
      </w:pPr>
      <w:r w:rsidRPr="000F6760">
        <w:rPr>
          <w:rFonts w:asciiTheme="majorHAnsi" w:hAnsiTheme="majorHAnsi"/>
          <w:b/>
        </w:rPr>
        <w:t>Pour la pratique</w:t>
      </w:r>
    </w:p>
    <w:p w:rsidR="00ED6ED5" w:rsidRPr="000F6760" w:rsidRDefault="00ED6ED5" w:rsidP="00ED6ED5">
      <w:pPr>
        <w:pStyle w:val="Paragraphedeliste"/>
        <w:tabs>
          <w:tab w:val="left" w:pos="2368"/>
        </w:tabs>
        <w:ind w:left="0"/>
        <w:jc w:val="both"/>
        <w:rPr>
          <w:rFonts w:asciiTheme="majorHAnsi" w:hAnsiTheme="majorHAnsi"/>
        </w:rPr>
      </w:pPr>
      <w:r w:rsidRPr="000F6760">
        <w:rPr>
          <w:rFonts w:asciiTheme="majorHAnsi" w:hAnsiTheme="majorHAnsi"/>
        </w:rPr>
        <w:t>La prudence reste le maître mot d’un traitement par ISRS chez l’enfant. Nous pouvons utiliser les résultats de la méta-analyse évaluée ici pour informer les patients et leurs familles des avantages et risques dans des indications et groupes d’âge spécifiques. Nous manquons cependant de données scientifiques concernant les effets à long terme sur le développement cérébral de l’enfant et des jeunes ; des données d’études animales ne sont pas rassurantes à ce propos (5). Des études prospectives sur ces questions de recherche sont rapidement indispensables. Entretemps, le clinicien suivra de près les patients (particulièrement les plus jeunes) prenant un antidépresseur quant au risque suicidaire. Une attention soutenue est de mise pour des groupes d’enfants à risque suicidaire, tels des enfants de parents souffrant d’une pathologie affective ou victimes de sévices sexuels.</w:t>
      </w:r>
    </w:p>
    <w:p w:rsidR="00ED6ED5" w:rsidRPr="000F6760" w:rsidRDefault="00ED6ED5" w:rsidP="00ED6ED5">
      <w:pPr>
        <w:pStyle w:val="Paragraphedeliste"/>
        <w:tabs>
          <w:tab w:val="left" w:pos="2368"/>
        </w:tabs>
        <w:spacing w:line="240" w:lineRule="auto"/>
        <w:ind w:left="0"/>
        <w:jc w:val="both"/>
        <w:rPr>
          <w:rFonts w:asciiTheme="majorHAnsi" w:hAnsiTheme="majorHAnsi"/>
        </w:rPr>
      </w:pPr>
    </w:p>
    <w:p w:rsidR="00ED6ED5" w:rsidRPr="004F1540" w:rsidRDefault="00ED6ED5" w:rsidP="00ED6ED5">
      <w:pPr>
        <w:pStyle w:val="Paragraphedeliste"/>
        <w:tabs>
          <w:tab w:val="left" w:pos="2368"/>
        </w:tabs>
        <w:ind w:left="0"/>
        <w:jc w:val="both"/>
        <w:rPr>
          <w:rFonts w:asciiTheme="majorHAnsi" w:hAnsiTheme="majorHAnsi"/>
          <w:b/>
        </w:rPr>
      </w:pPr>
      <w:r w:rsidRPr="000F6760">
        <w:rPr>
          <w:rFonts w:asciiTheme="majorHAnsi" w:hAnsiTheme="majorHAnsi"/>
        </w:rPr>
        <w:t xml:space="preserve"> </w:t>
      </w:r>
      <w:r w:rsidRPr="004F1540">
        <w:rPr>
          <w:rFonts w:asciiTheme="majorHAnsi" w:hAnsiTheme="majorHAnsi"/>
          <w:b/>
        </w:rPr>
        <w:t>CONCLUSION</w:t>
      </w:r>
    </w:p>
    <w:p w:rsidR="00ED6ED5" w:rsidRPr="000F6760" w:rsidRDefault="00ED6ED5" w:rsidP="00ED6ED5">
      <w:pPr>
        <w:pStyle w:val="Paragraphedeliste"/>
        <w:tabs>
          <w:tab w:val="left" w:pos="2368"/>
        </w:tabs>
        <w:ind w:left="0"/>
        <w:jc w:val="both"/>
        <w:rPr>
          <w:rFonts w:asciiTheme="majorHAnsi" w:hAnsiTheme="majorHAnsi"/>
        </w:rPr>
      </w:pPr>
      <w:r w:rsidRPr="000F6760">
        <w:rPr>
          <w:rFonts w:asciiTheme="majorHAnsi" w:hAnsiTheme="majorHAnsi"/>
        </w:rPr>
        <w:t>Cette étude montre que les inhibiteurs sélectifs de la recapture de la sérotonine (ISRS) ont une efficacité limitée dans le trouble dépressif majeur, modérée dans le trouble obsessionnel compulsif et importante dans les autres troubles anxieux chez les enfants et les adolescents. D’autre part, cette étude confirme un risque accru de suicide avec les ISRS dans ces indications pour ces groupes d’âge. Ces observations doivent inciter les psychiatres qui suivent des enfants ou des adolescents à informer correctement ceux-ci et leurs parents, à poser l’indication avec rigueur et à assurer un suivi strict.</w:t>
      </w:r>
    </w:p>
    <w:p w:rsidR="00ED6ED5" w:rsidRDefault="00ED6ED5" w:rsidP="00ED6ED5">
      <w:pPr>
        <w:pStyle w:val="Paragraphedeliste"/>
        <w:tabs>
          <w:tab w:val="left" w:pos="2368"/>
        </w:tabs>
        <w:ind w:left="0"/>
        <w:jc w:val="both"/>
        <w:rPr>
          <w:rFonts w:asciiTheme="majorHAnsi" w:hAnsiTheme="majorHAnsi"/>
        </w:rPr>
      </w:pPr>
      <w:r w:rsidRPr="000F6760">
        <w:rPr>
          <w:rFonts w:asciiTheme="majorHAnsi" w:hAnsiTheme="majorHAnsi"/>
        </w:rPr>
        <w:t xml:space="preserve"> </w:t>
      </w:r>
    </w:p>
    <w:p w:rsidR="00ED6ED5" w:rsidRPr="00863055" w:rsidRDefault="00634C4B" w:rsidP="00ED6ED5">
      <w:pPr>
        <w:pStyle w:val="Paragraphedeliste"/>
        <w:tabs>
          <w:tab w:val="left" w:pos="2368"/>
        </w:tabs>
        <w:ind w:left="0"/>
        <w:jc w:val="both"/>
        <w:rPr>
          <w:rFonts w:asciiTheme="majorHAnsi" w:hAnsiTheme="majorHAnsi"/>
          <w:b/>
          <w:lang w:val="en-US"/>
        </w:rPr>
      </w:pPr>
      <w:r w:rsidRPr="00863055">
        <w:rPr>
          <w:rFonts w:asciiTheme="majorHAnsi" w:hAnsiTheme="majorHAnsi"/>
          <w:b/>
          <w:lang w:val="en-US"/>
        </w:rPr>
        <w:t>REFERENCES</w:t>
      </w:r>
    </w:p>
    <w:p w:rsidR="00ED6ED5" w:rsidRPr="000F6760" w:rsidRDefault="00ED6ED5" w:rsidP="00ED6ED5">
      <w:pPr>
        <w:pStyle w:val="Paragraphedeliste"/>
        <w:tabs>
          <w:tab w:val="left" w:pos="2368"/>
        </w:tabs>
        <w:ind w:left="0"/>
        <w:jc w:val="both"/>
        <w:rPr>
          <w:rFonts w:asciiTheme="majorHAnsi" w:hAnsiTheme="majorHAnsi"/>
          <w:lang w:val="en-US"/>
        </w:rPr>
      </w:pPr>
      <w:r w:rsidRPr="000F6760">
        <w:rPr>
          <w:rFonts w:asciiTheme="majorHAnsi" w:hAnsiTheme="majorHAnsi"/>
          <w:lang w:val="en-US"/>
        </w:rPr>
        <w:t>Olfson M, Marcus SC, Shaffer D. Antidepressant drug therapy and suicide in severely depressed children and adults: a case-control study. Arch Gen Psychiatry 2006</w:t>
      </w:r>
      <w:r w:rsidR="00634C4B" w:rsidRPr="000F6760">
        <w:rPr>
          <w:rFonts w:asciiTheme="majorHAnsi" w:hAnsiTheme="majorHAnsi"/>
          <w:lang w:val="en-US"/>
        </w:rPr>
        <w:t>; 63:865</w:t>
      </w:r>
      <w:r w:rsidRPr="000F6760">
        <w:rPr>
          <w:rFonts w:asciiTheme="majorHAnsi" w:hAnsiTheme="majorHAnsi"/>
          <w:lang w:val="en-US"/>
        </w:rPr>
        <w:t>-72.</w:t>
      </w:r>
    </w:p>
    <w:p w:rsidR="00ED6ED5" w:rsidRPr="000F6760" w:rsidRDefault="00ED6ED5" w:rsidP="00ED6ED5">
      <w:pPr>
        <w:pStyle w:val="Paragraphedeliste"/>
        <w:tabs>
          <w:tab w:val="left" w:pos="2368"/>
        </w:tabs>
        <w:ind w:left="0"/>
        <w:jc w:val="both"/>
        <w:rPr>
          <w:rFonts w:asciiTheme="majorHAnsi" w:hAnsiTheme="majorHAnsi"/>
          <w:lang w:val="en-US"/>
        </w:rPr>
      </w:pPr>
      <w:r w:rsidRPr="000F6760">
        <w:rPr>
          <w:rFonts w:asciiTheme="majorHAnsi" w:hAnsiTheme="majorHAnsi"/>
          <w:lang w:val="en-US"/>
        </w:rPr>
        <w:t>Brent D. Antidepressants and suicidal behavior: cause or cure? Am J Psychiatry 2007</w:t>
      </w:r>
      <w:r w:rsidR="00634C4B" w:rsidRPr="000F6760">
        <w:rPr>
          <w:rFonts w:asciiTheme="majorHAnsi" w:hAnsiTheme="majorHAnsi"/>
          <w:lang w:val="en-US"/>
        </w:rPr>
        <w:t>; 164:989</w:t>
      </w:r>
      <w:r w:rsidRPr="000F6760">
        <w:rPr>
          <w:rFonts w:asciiTheme="majorHAnsi" w:hAnsiTheme="majorHAnsi"/>
          <w:lang w:val="en-US"/>
        </w:rPr>
        <w:t>-91.</w:t>
      </w:r>
    </w:p>
    <w:p w:rsidR="00ED6ED5" w:rsidRPr="000F6760" w:rsidRDefault="00ED6ED5" w:rsidP="00ED6ED5">
      <w:pPr>
        <w:pStyle w:val="Paragraphedeliste"/>
        <w:tabs>
          <w:tab w:val="left" w:pos="2368"/>
        </w:tabs>
        <w:ind w:left="0"/>
        <w:jc w:val="both"/>
        <w:rPr>
          <w:rFonts w:asciiTheme="majorHAnsi" w:hAnsiTheme="majorHAnsi"/>
          <w:lang w:val="en-US"/>
        </w:rPr>
      </w:pPr>
      <w:r w:rsidRPr="000F6760">
        <w:rPr>
          <w:rFonts w:asciiTheme="majorHAnsi" w:hAnsiTheme="majorHAnsi"/>
          <w:lang w:val="en-US"/>
        </w:rPr>
        <w:t>Libby AM, Brent DA, Morrato EH, et al. Decline in treatment of pediatric depression after FDA advisory on risk of suicidality with SSRIs. Am J Psychiatry 2007</w:t>
      </w:r>
      <w:r w:rsidR="00634C4B" w:rsidRPr="000F6760">
        <w:rPr>
          <w:rFonts w:asciiTheme="majorHAnsi" w:hAnsiTheme="majorHAnsi"/>
          <w:lang w:val="en-US"/>
        </w:rPr>
        <w:t>; 164:884</w:t>
      </w:r>
      <w:r w:rsidRPr="000F6760">
        <w:rPr>
          <w:rFonts w:asciiTheme="majorHAnsi" w:hAnsiTheme="majorHAnsi"/>
          <w:lang w:val="en-US"/>
        </w:rPr>
        <w:t>-91.</w:t>
      </w:r>
    </w:p>
    <w:p w:rsidR="00ED6ED5" w:rsidRPr="000F6760" w:rsidRDefault="00ED6ED5" w:rsidP="00ED6ED5">
      <w:pPr>
        <w:pStyle w:val="Paragraphedeliste"/>
        <w:tabs>
          <w:tab w:val="left" w:pos="2368"/>
        </w:tabs>
        <w:ind w:left="0"/>
        <w:jc w:val="both"/>
        <w:rPr>
          <w:rFonts w:asciiTheme="majorHAnsi" w:hAnsiTheme="majorHAnsi"/>
          <w:lang w:val="en-US"/>
        </w:rPr>
      </w:pPr>
      <w:r w:rsidRPr="000F6760">
        <w:rPr>
          <w:rFonts w:asciiTheme="majorHAnsi" w:hAnsiTheme="majorHAnsi"/>
          <w:lang w:val="en-US"/>
        </w:rPr>
        <w:t>Gibbons RD, Brown CH, Hur K, et al. Early evidence on the effects of regulators' suicidality warnings on SSRI prescriptions and suicide in children and adolescents. Am J Psychiatry 2007</w:t>
      </w:r>
      <w:r w:rsidR="00814198" w:rsidRPr="000F6760">
        <w:rPr>
          <w:rFonts w:asciiTheme="majorHAnsi" w:hAnsiTheme="majorHAnsi"/>
          <w:lang w:val="en-US"/>
        </w:rPr>
        <w:t>; 164:1356</w:t>
      </w:r>
      <w:r w:rsidRPr="000F6760">
        <w:rPr>
          <w:rFonts w:asciiTheme="majorHAnsi" w:hAnsiTheme="majorHAnsi"/>
          <w:lang w:val="en-US"/>
        </w:rPr>
        <w:t>-63.</w:t>
      </w:r>
    </w:p>
    <w:p w:rsidR="00480215" w:rsidRDefault="00ED6ED5" w:rsidP="00E22EF2">
      <w:pPr>
        <w:pStyle w:val="Paragraphedeliste"/>
        <w:tabs>
          <w:tab w:val="left" w:pos="2368"/>
        </w:tabs>
        <w:ind w:left="0"/>
        <w:jc w:val="both"/>
      </w:pPr>
      <w:r w:rsidRPr="000F6760">
        <w:rPr>
          <w:rFonts w:asciiTheme="majorHAnsi" w:hAnsiTheme="majorHAnsi"/>
          <w:lang w:val="en-US"/>
        </w:rPr>
        <w:t xml:space="preserve">Leckman JF, King RA. A developmental perspective on the controversy surrounding the use of SSRIs to treat pediatric depression. </w:t>
      </w:r>
      <w:r w:rsidRPr="000F6760">
        <w:rPr>
          <w:rFonts w:asciiTheme="majorHAnsi" w:hAnsiTheme="majorHAnsi"/>
        </w:rPr>
        <w:t>Am J Psychiatry 2007;164:1304-6</w:t>
      </w:r>
    </w:p>
    <w:sectPr w:rsidR="00480215" w:rsidSect="008F4500">
      <w:pgSz w:w="11906" w:h="16838"/>
      <w:pgMar w:top="1134" w:right="1134"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1AF" w:rsidRDefault="00B751AF" w:rsidP="003110F8">
      <w:pPr>
        <w:spacing w:after="0" w:line="240" w:lineRule="auto"/>
      </w:pPr>
      <w:r>
        <w:separator/>
      </w:r>
    </w:p>
  </w:endnote>
  <w:endnote w:type="continuationSeparator" w:id="0">
    <w:p w:rsidR="00B751AF" w:rsidRDefault="00B751AF" w:rsidP="0031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21002A87" w:usb1="00000000" w:usb2="00000000" w:usb3="00000000" w:csb0="0001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1AF" w:rsidRDefault="00B751AF" w:rsidP="003110F8">
      <w:pPr>
        <w:spacing w:after="0" w:line="240" w:lineRule="auto"/>
      </w:pPr>
      <w:r>
        <w:separator/>
      </w:r>
    </w:p>
  </w:footnote>
  <w:footnote w:type="continuationSeparator" w:id="0">
    <w:p w:rsidR="00B751AF" w:rsidRDefault="00B751AF" w:rsidP="00311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F8" w:rsidRPr="002D1853" w:rsidRDefault="003110F8" w:rsidP="00634C4B">
    <w:pPr>
      <w:pBdr>
        <w:bottom w:val="single" w:sz="6" w:space="1" w:color="auto"/>
      </w:pBdr>
      <w:spacing w:after="0"/>
      <w:rPr>
        <w:rFonts w:ascii="Bookman Old Style" w:hAnsi="Bookman Old Style" w:cstheme="majorBidi"/>
        <w:b/>
        <w:bCs/>
        <w:sz w:val="18"/>
        <w:szCs w:val="18"/>
      </w:rPr>
    </w:pPr>
    <w:r>
      <w:rPr>
        <w:rFonts w:ascii="Bookman Old Style" w:hAnsi="Bookman Old Style" w:cstheme="majorBidi"/>
        <w:b/>
        <w:bCs/>
        <w:sz w:val="20"/>
        <w:szCs w:val="20"/>
      </w:rPr>
      <w:t xml:space="preserve">   </w:t>
    </w:r>
    <w:r w:rsidRPr="002D1853">
      <w:rPr>
        <w:rFonts w:ascii="Bookman Old Style" w:hAnsi="Bookman Old Style" w:cstheme="majorBidi"/>
        <w:b/>
        <w:bCs/>
        <w:sz w:val="18"/>
        <w:szCs w:val="18"/>
      </w:rPr>
      <w:t xml:space="preserve">Formation C2i-enseignant   </w:t>
    </w:r>
    <w:r w:rsidRPr="002D1853">
      <w:rPr>
        <w:rFonts w:ascii="Bookman Old Style" w:hAnsi="Bookman Old Style" w:cstheme="majorBidi"/>
        <w:b/>
        <w:bCs/>
        <w:sz w:val="18"/>
        <w:szCs w:val="18"/>
      </w:rPr>
      <w:tab/>
    </w:r>
    <w:r w:rsidRPr="002D1853">
      <w:rPr>
        <w:rFonts w:ascii="Bookman Old Style" w:hAnsi="Bookman Old Style" w:cstheme="majorBidi"/>
        <w:b/>
        <w:bCs/>
        <w:sz w:val="18"/>
        <w:szCs w:val="18"/>
      </w:rPr>
      <w:tab/>
    </w:r>
    <w:r w:rsidRPr="002D1853">
      <w:rPr>
        <w:rFonts w:ascii="Bookman Old Style" w:hAnsi="Bookman Old Style" w:cstheme="majorBidi"/>
        <w:b/>
        <w:bCs/>
        <w:sz w:val="18"/>
        <w:szCs w:val="18"/>
      </w:rPr>
      <w:tab/>
    </w:r>
    <w:r w:rsidRPr="002D1853">
      <w:rPr>
        <w:rFonts w:ascii="Bookman Old Style" w:hAnsi="Bookman Old Style" w:cstheme="majorBidi"/>
        <w:b/>
        <w:bCs/>
        <w:sz w:val="18"/>
        <w:szCs w:val="18"/>
      </w:rPr>
      <w:tab/>
    </w:r>
    <w:r w:rsidRPr="002D1853">
      <w:rPr>
        <w:rFonts w:ascii="Bookman Old Style" w:hAnsi="Bookman Old Style" w:cstheme="majorBidi"/>
        <w:b/>
        <w:bCs/>
        <w:sz w:val="18"/>
        <w:szCs w:val="18"/>
      </w:rPr>
      <w:tab/>
      <w:t xml:space="preserve"> ©Hamdi Hocine 2017</w:t>
    </w:r>
    <w:r w:rsidR="00863055">
      <w:rPr>
        <w:rFonts w:ascii="Bookman Old Style" w:hAnsi="Bookman Old Style" w:cstheme="majorBidi"/>
        <w:b/>
        <w:bCs/>
        <w:sz w:val="18"/>
        <w:szCs w:val="18"/>
      </w:rPr>
      <w:t>-2021</w:t>
    </w:r>
  </w:p>
  <w:p w:rsidR="003110F8" w:rsidRDefault="003110F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ED5"/>
    <w:rsid w:val="0000097E"/>
    <w:rsid w:val="00013253"/>
    <w:rsid w:val="00013D41"/>
    <w:rsid w:val="00035124"/>
    <w:rsid w:val="00041774"/>
    <w:rsid w:val="00051B78"/>
    <w:rsid w:val="00072CF5"/>
    <w:rsid w:val="00082453"/>
    <w:rsid w:val="00084692"/>
    <w:rsid w:val="0009164C"/>
    <w:rsid w:val="000A3062"/>
    <w:rsid w:val="000A47BD"/>
    <w:rsid w:val="000C2F21"/>
    <w:rsid w:val="000C606E"/>
    <w:rsid w:val="000D2782"/>
    <w:rsid w:val="000E4186"/>
    <w:rsid w:val="000E688A"/>
    <w:rsid w:val="000F4F17"/>
    <w:rsid w:val="0010289A"/>
    <w:rsid w:val="00104A73"/>
    <w:rsid w:val="001060F0"/>
    <w:rsid w:val="001127DE"/>
    <w:rsid w:val="00114B44"/>
    <w:rsid w:val="00121504"/>
    <w:rsid w:val="00126344"/>
    <w:rsid w:val="001367F8"/>
    <w:rsid w:val="001533DA"/>
    <w:rsid w:val="001557A8"/>
    <w:rsid w:val="00161602"/>
    <w:rsid w:val="00161CAB"/>
    <w:rsid w:val="001660C9"/>
    <w:rsid w:val="001708A5"/>
    <w:rsid w:val="00194EE0"/>
    <w:rsid w:val="00196AC3"/>
    <w:rsid w:val="001B0130"/>
    <w:rsid w:val="001C0BA9"/>
    <w:rsid w:val="001D22F2"/>
    <w:rsid w:val="001D5677"/>
    <w:rsid w:val="00200797"/>
    <w:rsid w:val="00211B18"/>
    <w:rsid w:val="00213E93"/>
    <w:rsid w:val="002241CB"/>
    <w:rsid w:val="00230A5A"/>
    <w:rsid w:val="00240FA9"/>
    <w:rsid w:val="00255A0E"/>
    <w:rsid w:val="00257616"/>
    <w:rsid w:val="00285599"/>
    <w:rsid w:val="00286955"/>
    <w:rsid w:val="00286E80"/>
    <w:rsid w:val="002B0901"/>
    <w:rsid w:val="002C0149"/>
    <w:rsid w:val="002C0202"/>
    <w:rsid w:val="002D1BD2"/>
    <w:rsid w:val="002D54F2"/>
    <w:rsid w:val="002D5E02"/>
    <w:rsid w:val="002D7A24"/>
    <w:rsid w:val="002E19CC"/>
    <w:rsid w:val="002E494B"/>
    <w:rsid w:val="002E6C3E"/>
    <w:rsid w:val="002F401B"/>
    <w:rsid w:val="002F5C6D"/>
    <w:rsid w:val="00300353"/>
    <w:rsid w:val="003110F8"/>
    <w:rsid w:val="00313D2B"/>
    <w:rsid w:val="003544EE"/>
    <w:rsid w:val="0035473A"/>
    <w:rsid w:val="00357E86"/>
    <w:rsid w:val="0036218D"/>
    <w:rsid w:val="00364C85"/>
    <w:rsid w:val="00365708"/>
    <w:rsid w:val="00367A43"/>
    <w:rsid w:val="003817C5"/>
    <w:rsid w:val="00385281"/>
    <w:rsid w:val="00385DAD"/>
    <w:rsid w:val="00391B57"/>
    <w:rsid w:val="0039419C"/>
    <w:rsid w:val="00397D0B"/>
    <w:rsid w:val="003B522E"/>
    <w:rsid w:val="003C0511"/>
    <w:rsid w:val="003C3B45"/>
    <w:rsid w:val="003C69A8"/>
    <w:rsid w:val="003D2B78"/>
    <w:rsid w:val="003E035E"/>
    <w:rsid w:val="003E10C4"/>
    <w:rsid w:val="003E6FC3"/>
    <w:rsid w:val="003F25B9"/>
    <w:rsid w:val="0041202B"/>
    <w:rsid w:val="00420799"/>
    <w:rsid w:val="00431A59"/>
    <w:rsid w:val="00432D2D"/>
    <w:rsid w:val="00435523"/>
    <w:rsid w:val="00441921"/>
    <w:rsid w:val="004425A6"/>
    <w:rsid w:val="00443350"/>
    <w:rsid w:val="00455B78"/>
    <w:rsid w:val="0046163B"/>
    <w:rsid w:val="00464421"/>
    <w:rsid w:val="004667A5"/>
    <w:rsid w:val="004701E2"/>
    <w:rsid w:val="004714D6"/>
    <w:rsid w:val="00475409"/>
    <w:rsid w:val="00477D32"/>
    <w:rsid w:val="00480215"/>
    <w:rsid w:val="0048297A"/>
    <w:rsid w:val="00486916"/>
    <w:rsid w:val="00486C53"/>
    <w:rsid w:val="00491874"/>
    <w:rsid w:val="00495494"/>
    <w:rsid w:val="00496AD8"/>
    <w:rsid w:val="004A0F00"/>
    <w:rsid w:val="004A27D8"/>
    <w:rsid w:val="004B1873"/>
    <w:rsid w:val="004C4FD6"/>
    <w:rsid w:val="004D2BE5"/>
    <w:rsid w:val="004D6621"/>
    <w:rsid w:val="004D6731"/>
    <w:rsid w:val="004D67EC"/>
    <w:rsid w:val="004E1C54"/>
    <w:rsid w:val="004F25B4"/>
    <w:rsid w:val="004F38EE"/>
    <w:rsid w:val="004F7828"/>
    <w:rsid w:val="00500D88"/>
    <w:rsid w:val="00526168"/>
    <w:rsid w:val="00527308"/>
    <w:rsid w:val="005346CB"/>
    <w:rsid w:val="0055122E"/>
    <w:rsid w:val="00557F39"/>
    <w:rsid w:val="00561C29"/>
    <w:rsid w:val="00562234"/>
    <w:rsid w:val="00564533"/>
    <w:rsid w:val="00565D40"/>
    <w:rsid w:val="00575C6F"/>
    <w:rsid w:val="00583DA5"/>
    <w:rsid w:val="005971A2"/>
    <w:rsid w:val="005A275F"/>
    <w:rsid w:val="005A6D2C"/>
    <w:rsid w:val="005B330A"/>
    <w:rsid w:val="005B5EA5"/>
    <w:rsid w:val="005C2E8C"/>
    <w:rsid w:val="005C4BA2"/>
    <w:rsid w:val="005D1B4D"/>
    <w:rsid w:val="005D7987"/>
    <w:rsid w:val="005E658D"/>
    <w:rsid w:val="005F0DC6"/>
    <w:rsid w:val="005F0EF7"/>
    <w:rsid w:val="005F1508"/>
    <w:rsid w:val="005F382E"/>
    <w:rsid w:val="005F552D"/>
    <w:rsid w:val="00611AAC"/>
    <w:rsid w:val="0061416D"/>
    <w:rsid w:val="006243B2"/>
    <w:rsid w:val="00634C4B"/>
    <w:rsid w:val="00643F8F"/>
    <w:rsid w:val="00657B4A"/>
    <w:rsid w:val="006603E1"/>
    <w:rsid w:val="00667454"/>
    <w:rsid w:val="006755A1"/>
    <w:rsid w:val="006839F9"/>
    <w:rsid w:val="00683EEC"/>
    <w:rsid w:val="00685DCB"/>
    <w:rsid w:val="006926F8"/>
    <w:rsid w:val="006945EC"/>
    <w:rsid w:val="00695BE7"/>
    <w:rsid w:val="006A2A50"/>
    <w:rsid w:val="006A338B"/>
    <w:rsid w:val="006A50A3"/>
    <w:rsid w:val="006A648B"/>
    <w:rsid w:val="006C7085"/>
    <w:rsid w:val="006D0CD5"/>
    <w:rsid w:val="006E26F1"/>
    <w:rsid w:val="006E6860"/>
    <w:rsid w:val="00704E25"/>
    <w:rsid w:val="00706CA0"/>
    <w:rsid w:val="0071490C"/>
    <w:rsid w:val="00725D91"/>
    <w:rsid w:val="0073612D"/>
    <w:rsid w:val="007423DC"/>
    <w:rsid w:val="00742C7C"/>
    <w:rsid w:val="0075242C"/>
    <w:rsid w:val="007556E1"/>
    <w:rsid w:val="00756E78"/>
    <w:rsid w:val="00756EB7"/>
    <w:rsid w:val="007730A3"/>
    <w:rsid w:val="00781B22"/>
    <w:rsid w:val="00783669"/>
    <w:rsid w:val="00793350"/>
    <w:rsid w:val="007937EA"/>
    <w:rsid w:val="007A1E57"/>
    <w:rsid w:val="007A588B"/>
    <w:rsid w:val="007C3530"/>
    <w:rsid w:val="007C5144"/>
    <w:rsid w:val="007C6064"/>
    <w:rsid w:val="007D1D6F"/>
    <w:rsid w:val="007E2E4A"/>
    <w:rsid w:val="007E62BD"/>
    <w:rsid w:val="007F1009"/>
    <w:rsid w:val="007F1E5C"/>
    <w:rsid w:val="007F2537"/>
    <w:rsid w:val="007F3700"/>
    <w:rsid w:val="007F4FDF"/>
    <w:rsid w:val="007F5601"/>
    <w:rsid w:val="0080224E"/>
    <w:rsid w:val="0080394A"/>
    <w:rsid w:val="00814198"/>
    <w:rsid w:val="00827211"/>
    <w:rsid w:val="00830D8A"/>
    <w:rsid w:val="00832104"/>
    <w:rsid w:val="00841129"/>
    <w:rsid w:val="00842465"/>
    <w:rsid w:val="00844627"/>
    <w:rsid w:val="00853929"/>
    <w:rsid w:val="00862327"/>
    <w:rsid w:val="00863055"/>
    <w:rsid w:val="0087478E"/>
    <w:rsid w:val="00881645"/>
    <w:rsid w:val="0088629C"/>
    <w:rsid w:val="00890CA4"/>
    <w:rsid w:val="00896E65"/>
    <w:rsid w:val="008C3018"/>
    <w:rsid w:val="008D2B4B"/>
    <w:rsid w:val="008E4A31"/>
    <w:rsid w:val="008E4A51"/>
    <w:rsid w:val="008F4500"/>
    <w:rsid w:val="0090372C"/>
    <w:rsid w:val="00903AE4"/>
    <w:rsid w:val="00904944"/>
    <w:rsid w:val="00906AA4"/>
    <w:rsid w:val="00910F9A"/>
    <w:rsid w:val="00914B6B"/>
    <w:rsid w:val="00915966"/>
    <w:rsid w:val="009262A6"/>
    <w:rsid w:val="009336E5"/>
    <w:rsid w:val="0093452E"/>
    <w:rsid w:val="00935A63"/>
    <w:rsid w:val="0094265D"/>
    <w:rsid w:val="00944121"/>
    <w:rsid w:val="00946DC7"/>
    <w:rsid w:val="00961F75"/>
    <w:rsid w:val="009622B1"/>
    <w:rsid w:val="00963963"/>
    <w:rsid w:val="00984E62"/>
    <w:rsid w:val="00986B6E"/>
    <w:rsid w:val="0098704E"/>
    <w:rsid w:val="009901CA"/>
    <w:rsid w:val="009A153D"/>
    <w:rsid w:val="009B1F0F"/>
    <w:rsid w:val="009B2E4E"/>
    <w:rsid w:val="009B5EA6"/>
    <w:rsid w:val="009D6C4D"/>
    <w:rsid w:val="009E3B67"/>
    <w:rsid w:val="009E486A"/>
    <w:rsid w:val="009E5D5E"/>
    <w:rsid w:val="009E69DA"/>
    <w:rsid w:val="009F5CF0"/>
    <w:rsid w:val="009F7C07"/>
    <w:rsid w:val="00A0049B"/>
    <w:rsid w:val="00A04199"/>
    <w:rsid w:val="00A04999"/>
    <w:rsid w:val="00A07965"/>
    <w:rsid w:val="00A13B73"/>
    <w:rsid w:val="00A164AC"/>
    <w:rsid w:val="00A16D06"/>
    <w:rsid w:val="00A2060E"/>
    <w:rsid w:val="00A20E4E"/>
    <w:rsid w:val="00A2258A"/>
    <w:rsid w:val="00A2494B"/>
    <w:rsid w:val="00A25C4C"/>
    <w:rsid w:val="00A3407E"/>
    <w:rsid w:val="00A3691D"/>
    <w:rsid w:val="00A37238"/>
    <w:rsid w:val="00A43042"/>
    <w:rsid w:val="00A54B3A"/>
    <w:rsid w:val="00A55119"/>
    <w:rsid w:val="00A57811"/>
    <w:rsid w:val="00A639A5"/>
    <w:rsid w:val="00A7183B"/>
    <w:rsid w:val="00A74AFA"/>
    <w:rsid w:val="00A91D16"/>
    <w:rsid w:val="00A933C5"/>
    <w:rsid w:val="00A97631"/>
    <w:rsid w:val="00AA19E7"/>
    <w:rsid w:val="00AA6537"/>
    <w:rsid w:val="00AA7118"/>
    <w:rsid w:val="00AB0B6D"/>
    <w:rsid w:val="00AC42F1"/>
    <w:rsid w:val="00AD1296"/>
    <w:rsid w:val="00AF19FC"/>
    <w:rsid w:val="00AF39EB"/>
    <w:rsid w:val="00B0400B"/>
    <w:rsid w:val="00B10A45"/>
    <w:rsid w:val="00B1113C"/>
    <w:rsid w:val="00B12C42"/>
    <w:rsid w:val="00B24426"/>
    <w:rsid w:val="00B25F64"/>
    <w:rsid w:val="00B3025D"/>
    <w:rsid w:val="00B319BA"/>
    <w:rsid w:val="00B40E32"/>
    <w:rsid w:val="00B5501F"/>
    <w:rsid w:val="00B550FF"/>
    <w:rsid w:val="00B6170B"/>
    <w:rsid w:val="00B65D2B"/>
    <w:rsid w:val="00B67FF3"/>
    <w:rsid w:val="00B751AF"/>
    <w:rsid w:val="00B83F38"/>
    <w:rsid w:val="00B92EB0"/>
    <w:rsid w:val="00B949C5"/>
    <w:rsid w:val="00B97937"/>
    <w:rsid w:val="00BA1353"/>
    <w:rsid w:val="00BB68BD"/>
    <w:rsid w:val="00BC0E6D"/>
    <w:rsid w:val="00BC2FC4"/>
    <w:rsid w:val="00BD18A8"/>
    <w:rsid w:val="00BE2AB0"/>
    <w:rsid w:val="00BE52BF"/>
    <w:rsid w:val="00BF0D33"/>
    <w:rsid w:val="00BF52E6"/>
    <w:rsid w:val="00C1691E"/>
    <w:rsid w:val="00C2099F"/>
    <w:rsid w:val="00C21A33"/>
    <w:rsid w:val="00C3211A"/>
    <w:rsid w:val="00C35F8D"/>
    <w:rsid w:val="00C37B02"/>
    <w:rsid w:val="00C41558"/>
    <w:rsid w:val="00C43BC1"/>
    <w:rsid w:val="00C4497C"/>
    <w:rsid w:val="00C52809"/>
    <w:rsid w:val="00C5383F"/>
    <w:rsid w:val="00C60D7B"/>
    <w:rsid w:val="00C629B3"/>
    <w:rsid w:val="00C63144"/>
    <w:rsid w:val="00C66A52"/>
    <w:rsid w:val="00C7259C"/>
    <w:rsid w:val="00C778BC"/>
    <w:rsid w:val="00C86FDC"/>
    <w:rsid w:val="00C9000B"/>
    <w:rsid w:val="00C945DF"/>
    <w:rsid w:val="00C95AE3"/>
    <w:rsid w:val="00CA049A"/>
    <w:rsid w:val="00CB53CE"/>
    <w:rsid w:val="00CC0589"/>
    <w:rsid w:val="00CC1DF5"/>
    <w:rsid w:val="00CD1995"/>
    <w:rsid w:val="00CD25A1"/>
    <w:rsid w:val="00CD7A7F"/>
    <w:rsid w:val="00CE4A46"/>
    <w:rsid w:val="00CE5469"/>
    <w:rsid w:val="00CF1591"/>
    <w:rsid w:val="00CF1972"/>
    <w:rsid w:val="00D0249A"/>
    <w:rsid w:val="00D030DA"/>
    <w:rsid w:val="00D33E12"/>
    <w:rsid w:val="00D34C7B"/>
    <w:rsid w:val="00D47AA0"/>
    <w:rsid w:val="00D52798"/>
    <w:rsid w:val="00D54687"/>
    <w:rsid w:val="00D55BC1"/>
    <w:rsid w:val="00D63FCA"/>
    <w:rsid w:val="00D64E98"/>
    <w:rsid w:val="00D64F01"/>
    <w:rsid w:val="00D723E6"/>
    <w:rsid w:val="00D83573"/>
    <w:rsid w:val="00D9647E"/>
    <w:rsid w:val="00DB5A52"/>
    <w:rsid w:val="00DB6101"/>
    <w:rsid w:val="00DC1504"/>
    <w:rsid w:val="00DC7DB8"/>
    <w:rsid w:val="00DE5259"/>
    <w:rsid w:val="00DE7204"/>
    <w:rsid w:val="00DE739D"/>
    <w:rsid w:val="00E05223"/>
    <w:rsid w:val="00E1046B"/>
    <w:rsid w:val="00E11051"/>
    <w:rsid w:val="00E16AEA"/>
    <w:rsid w:val="00E22EF2"/>
    <w:rsid w:val="00E335D9"/>
    <w:rsid w:val="00E33BC4"/>
    <w:rsid w:val="00E34766"/>
    <w:rsid w:val="00E41118"/>
    <w:rsid w:val="00E44A5E"/>
    <w:rsid w:val="00E4626C"/>
    <w:rsid w:val="00E47F11"/>
    <w:rsid w:val="00E543C0"/>
    <w:rsid w:val="00E75402"/>
    <w:rsid w:val="00E8127A"/>
    <w:rsid w:val="00EA2B17"/>
    <w:rsid w:val="00EB75DC"/>
    <w:rsid w:val="00ED4987"/>
    <w:rsid w:val="00ED4A6D"/>
    <w:rsid w:val="00ED50CA"/>
    <w:rsid w:val="00ED5121"/>
    <w:rsid w:val="00ED6ED5"/>
    <w:rsid w:val="00EE1141"/>
    <w:rsid w:val="00EF11B5"/>
    <w:rsid w:val="00F035FC"/>
    <w:rsid w:val="00F0384F"/>
    <w:rsid w:val="00F16070"/>
    <w:rsid w:val="00F2431E"/>
    <w:rsid w:val="00F310DC"/>
    <w:rsid w:val="00F31D97"/>
    <w:rsid w:val="00F33892"/>
    <w:rsid w:val="00F35199"/>
    <w:rsid w:val="00F369B8"/>
    <w:rsid w:val="00F53F66"/>
    <w:rsid w:val="00F5427E"/>
    <w:rsid w:val="00F55D98"/>
    <w:rsid w:val="00F56373"/>
    <w:rsid w:val="00F568C7"/>
    <w:rsid w:val="00F575B4"/>
    <w:rsid w:val="00F72962"/>
    <w:rsid w:val="00F76798"/>
    <w:rsid w:val="00F76AE7"/>
    <w:rsid w:val="00F80DDB"/>
    <w:rsid w:val="00F82C8E"/>
    <w:rsid w:val="00F90106"/>
    <w:rsid w:val="00F902F3"/>
    <w:rsid w:val="00F940E5"/>
    <w:rsid w:val="00F954C6"/>
    <w:rsid w:val="00F95BB3"/>
    <w:rsid w:val="00FA01CB"/>
    <w:rsid w:val="00FA1EBD"/>
    <w:rsid w:val="00FA24D3"/>
    <w:rsid w:val="00FB1365"/>
    <w:rsid w:val="00FB264A"/>
    <w:rsid w:val="00FC4238"/>
    <w:rsid w:val="00FC50CF"/>
    <w:rsid w:val="00FD1F47"/>
    <w:rsid w:val="00FD2825"/>
    <w:rsid w:val="00FE326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64B7"/>
  <w15:docId w15:val="{5455E3CB-7090-41E5-B85F-F1B377DD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ED5"/>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6ED5"/>
    <w:pPr>
      <w:ind w:left="720"/>
      <w:contextualSpacing/>
    </w:pPr>
  </w:style>
  <w:style w:type="table" w:styleId="Grilledutableau">
    <w:name w:val="Table Grid"/>
    <w:basedOn w:val="TableauNormal"/>
    <w:uiPriority w:val="59"/>
    <w:rsid w:val="00ED6ED5"/>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D6E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D6ED5"/>
    <w:rPr>
      <w:rFonts w:ascii="Tahoma" w:eastAsiaTheme="minorEastAsia" w:hAnsi="Tahoma" w:cs="Tahoma"/>
      <w:sz w:val="16"/>
      <w:szCs w:val="16"/>
      <w:lang w:eastAsia="fr-FR"/>
    </w:rPr>
  </w:style>
  <w:style w:type="paragraph" w:styleId="En-tte">
    <w:name w:val="header"/>
    <w:basedOn w:val="Normal"/>
    <w:link w:val="En-tteCar"/>
    <w:uiPriority w:val="99"/>
    <w:unhideWhenUsed/>
    <w:rsid w:val="003110F8"/>
    <w:pPr>
      <w:tabs>
        <w:tab w:val="center" w:pos="4536"/>
        <w:tab w:val="right" w:pos="9072"/>
      </w:tabs>
      <w:spacing w:after="0" w:line="240" w:lineRule="auto"/>
    </w:pPr>
  </w:style>
  <w:style w:type="character" w:customStyle="1" w:styleId="En-tteCar">
    <w:name w:val="En-tête Car"/>
    <w:basedOn w:val="Policepardfaut"/>
    <w:link w:val="En-tte"/>
    <w:uiPriority w:val="99"/>
    <w:rsid w:val="003110F8"/>
    <w:rPr>
      <w:rFonts w:eastAsiaTheme="minorEastAsia"/>
      <w:lang w:eastAsia="fr-FR"/>
    </w:rPr>
  </w:style>
  <w:style w:type="paragraph" w:styleId="Pieddepage">
    <w:name w:val="footer"/>
    <w:basedOn w:val="Normal"/>
    <w:link w:val="PieddepageCar"/>
    <w:uiPriority w:val="99"/>
    <w:unhideWhenUsed/>
    <w:rsid w:val="003110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10F8"/>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1820</Words>
  <Characters>10013</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ziri-bleu</cp:lastModifiedBy>
  <cp:revision>2</cp:revision>
  <dcterms:created xsi:type="dcterms:W3CDTF">2021-04-07T14:01:00Z</dcterms:created>
  <dcterms:modified xsi:type="dcterms:W3CDTF">2021-04-07T14:01:00Z</dcterms:modified>
</cp:coreProperties>
</file>