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AD4" w:rsidRPr="00844A96" w:rsidRDefault="00844A96" w:rsidP="0006515B">
      <w:pPr>
        <w:autoSpaceDE w:val="0"/>
        <w:autoSpaceDN w:val="0"/>
        <w:adjustRightInd w:val="0"/>
        <w:spacing w:after="0" w:line="240" w:lineRule="auto"/>
        <w:jc w:val="center"/>
        <w:rPr>
          <w:rFonts w:ascii="LMRoman17-Regular" w:hAnsi="LMRoman17-Regular" w:cs="LMRoman17-Regular"/>
          <w:sz w:val="28"/>
          <w:szCs w:val="28"/>
        </w:rPr>
      </w:pPr>
      <w:r>
        <w:rPr>
          <w:rFonts w:ascii="LMRoman17-Regular" w:hAnsi="LMRoman17-Regular" w:cs="LMRoman17-Regular"/>
          <w:sz w:val="28"/>
          <w:szCs w:val="28"/>
        </w:rPr>
        <w:t>A</w:t>
      </w:r>
      <w:r w:rsidRPr="00844A96">
        <w:rPr>
          <w:rFonts w:ascii="LMRoman17-Regular" w:hAnsi="LMRoman17-Regular" w:cs="LMRoman17-Regular"/>
          <w:sz w:val="28"/>
          <w:szCs w:val="28"/>
        </w:rPr>
        <w:t>ctivité 4 bis</w:t>
      </w:r>
      <w:r>
        <w:rPr>
          <w:rFonts w:ascii="LMRoman17-Regular" w:hAnsi="LMRoman17-Regular" w:cs="LMRoman17-Regular"/>
          <w:sz w:val="28"/>
          <w:szCs w:val="28"/>
        </w:rPr>
        <w:t> : référencement bibliographique</w:t>
      </w:r>
    </w:p>
    <w:p w:rsidR="00765AD4" w:rsidRPr="0055579F" w:rsidRDefault="00765AD4" w:rsidP="00844A96">
      <w:pPr>
        <w:autoSpaceDE w:val="0"/>
        <w:autoSpaceDN w:val="0"/>
        <w:adjustRightInd w:val="0"/>
        <w:spacing w:line="240" w:lineRule="auto"/>
        <w:jc w:val="center"/>
        <w:rPr>
          <w:rFonts w:ascii="LMRoman12-Regular" w:hAnsi="LMRoman12-Regular" w:cs="LMRoman12-Regular"/>
          <w:sz w:val="20"/>
          <w:szCs w:val="20"/>
        </w:rPr>
      </w:pPr>
      <w:r w:rsidRPr="0055579F">
        <w:rPr>
          <w:rFonts w:ascii="LMRoman12-Regular" w:hAnsi="LMRoman12-Regular" w:cs="LMRoman12-Regular"/>
          <w:sz w:val="20"/>
          <w:szCs w:val="20"/>
        </w:rPr>
        <w:t>La Source – Isara 10/10/2022</w:t>
      </w:r>
      <w:r w:rsidR="0006515B" w:rsidRPr="0055579F">
        <w:rPr>
          <w:rFonts w:ascii="LMRoman12-Regular" w:hAnsi="LMRoman12-Regular" w:cs="LMRoman12-Regular"/>
          <w:sz w:val="20"/>
          <w:szCs w:val="20"/>
        </w:rPr>
        <w:t xml:space="preserve"> (modifié HH </w:t>
      </w:r>
      <w:r w:rsidR="00844A96" w:rsidRPr="0055579F">
        <w:rPr>
          <w:rFonts w:ascii="LMRoman12-Regular" w:hAnsi="LMRoman12-Regular" w:cs="LMRoman12-Regular"/>
          <w:sz w:val="20"/>
          <w:szCs w:val="20"/>
        </w:rPr>
        <w:t>15/10/22)</w:t>
      </w:r>
    </w:p>
    <w:p w:rsidR="00765AD4" w:rsidRDefault="00844A96" w:rsidP="007F0764">
      <w:pPr>
        <w:autoSpaceDE w:val="0"/>
        <w:autoSpaceDN w:val="0"/>
        <w:adjustRightInd w:val="0"/>
        <w:spacing w:after="0" w:line="240" w:lineRule="auto"/>
        <w:jc w:val="both"/>
        <w:rPr>
          <w:rFonts w:ascii="LMRoman10-Regular" w:hAnsi="LMRoman10-Regular" w:cs="LMRoman10-Regular"/>
          <w:sz w:val="20"/>
          <w:szCs w:val="20"/>
        </w:rPr>
      </w:pPr>
      <w:r>
        <w:rPr>
          <w:rFonts w:ascii="LMRoman10-Regular" w:hAnsi="LMRoman10-Regular" w:cs="LMRoman10-Regular"/>
          <w:sz w:val="20"/>
          <w:szCs w:val="20"/>
        </w:rPr>
        <w:tab/>
      </w:r>
      <w:r w:rsidR="00765AD4">
        <w:rPr>
          <w:rFonts w:ascii="LMRoman10-Regular" w:hAnsi="LMRoman10-Regular" w:cs="LMRoman10-Regular"/>
          <w:sz w:val="20"/>
          <w:szCs w:val="20"/>
        </w:rPr>
        <w:t xml:space="preserve">Retrouvez toutes les informations nécessaires à la citation et à la rédaction de références bibliographiques sur le portail </w:t>
      </w:r>
      <w:r w:rsidR="00765AD4">
        <w:rPr>
          <w:rFonts w:ascii="LMRoman10-Italic" w:hAnsi="LMRoman10-Italic" w:cs="LMRoman10-Italic"/>
          <w:i/>
          <w:iCs/>
          <w:sz w:val="20"/>
          <w:szCs w:val="20"/>
        </w:rPr>
        <w:t>doc.isara</w:t>
      </w:r>
      <w:r w:rsidR="007F0764">
        <w:rPr>
          <w:rFonts w:ascii="LMRoman10-Italic" w:hAnsi="LMRoman10-Italic" w:cs="LMRoman10-Italic"/>
          <w:i/>
          <w:iCs/>
          <w:sz w:val="20"/>
          <w:szCs w:val="20"/>
        </w:rPr>
        <w:t xml:space="preserve"> </w:t>
      </w:r>
      <w:r w:rsidR="00765AD4">
        <w:rPr>
          <w:rFonts w:ascii="LMRoman10-Regular" w:hAnsi="LMRoman10-Regular" w:cs="LMRoman10-Regular"/>
          <w:sz w:val="20"/>
          <w:szCs w:val="20"/>
        </w:rPr>
        <w:t xml:space="preserve">dans le </w:t>
      </w:r>
      <w:r w:rsidR="00765AD4">
        <w:rPr>
          <w:rFonts w:ascii="LMRoman10-Bold" w:hAnsi="LMRoman10-Bold" w:cs="LMRoman10-Bold"/>
          <w:b/>
          <w:bCs/>
          <w:sz w:val="20"/>
          <w:szCs w:val="20"/>
        </w:rPr>
        <w:t>Guide d</w:t>
      </w:r>
      <w:r w:rsidR="007F0764">
        <w:rPr>
          <w:rFonts w:ascii="LMRoman10-Bold" w:hAnsi="LMRoman10-Bold" w:cs="LMRoman10-Bold"/>
          <w:b/>
          <w:bCs/>
          <w:sz w:val="20"/>
          <w:szCs w:val="20"/>
        </w:rPr>
        <w:t>e référencement bibliographique.</w:t>
      </w:r>
      <w:r w:rsidR="00765AD4">
        <w:rPr>
          <w:rFonts w:ascii="LMRoman10-Regular" w:hAnsi="LMRoman10-Regular" w:cs="LMRoman10-Regular"/>
          <w:sz w:val="20"/>
          <w:szCs w:val="20"/>
        </w:rPr>
        <w:t xml:space="preserve"> </w:t>
      </w:r>
    </w:p>
    <w:p w:rsidR="0055579F" w:rsidRDefault="0055579F" w:rsidP="0043250B">
      <w:pPr>
        <w:autoSpaceDE w:val="0"/>
        <w:autoSpaceDN w:val="0"/>
        <w:adjustRightInd w:val="0"/>
        <w:spacing w:after="0" w:line="240" w:lineRule="auto"/>
        <w:jc w:val="both"/>
        <w:rPr>
          <w:rFonts w:ascii="LMMono10-Regular" w:hAnsi="LMMono10-Regular" w:cs="LMMono10-Regular"/>
          <w:b/>
          <w:sz w:val="24"/>
          <w:szCs w:val="24"/>
        </w:rPr>
      </w:pPr>
    </w:p>
    <w:p w:rsidR="00844A96" w:rsidRPr="0055579F" w:rsidRDefault="0055579F" w:rsidP="00765AD4">
      <w:pPr>
        <w:autoSpaceDE w:val="0"/>
        <w:autoSpaceDN w:val="0"/>
        <w:adjustRightInd w:val="0"/>
        <w:spacing w:after="0" w:line="240" w:lineRule="auto"/>
        <w:rPr>
          <w:rFonts w:ascii="LMMono10-Regular" w:hAnsi="LMMono10-Regular" w:cs="LMMono10-Regular"/>
          <w:b/>
          <w:sz w:val="24"/>
          <w:szCs w:val="24"/>
        </w:rPr>
      </w:pPr>
      <w:r w:rsidRPr="0055579F">
        <w:rPr>
          <w:rFonts w:ascii="LMMono10-Regular" w:hAnsi="LMMono10-Regular" w:cs="LMMono10-Regular"/>
          <w:b/>
          <w:sz w:val="24"/>
          <w:szCs w:val="24"/>
        </w:rPr>
        <w:t>Enoncé de l’exercice</w:t>
      </w:r>
      <w:r w:rsidR="00844A96" w:rsidRPr="0055579F">
        <w:rPr>
          <w:rFonts w:ascii="LMMono10-Regular" w:hAnsi="LMMono10-Regular" w:cs="LMMono10-Regular"/>
          <w:b/>
          <w:sz w:val="24"/>
          <w:szCs w:val="24"/>
        </w:rPr>
        <w:tab/>
      </w:r>
    </w:p>
    <w:p w:rsidR="0006515B" w:rsidRDefault="00765AD4" w:rsidP="00765AD4">
      <w:pPr>
        <w:autoSpaceDE w:val="0"/>
        <w:autoSpaceDN w:val="0"/>
        <w:adjustRightInd w:val="0"/>
        <w:spacing w:after="0" w:line="240" w:lineRule="auto"/>
        <w:rPr>
          <w:rFonts w:ascii="LMMono10-Regular" w:hAnsi="LMMono10-Regular" w:cs="LMMono10-Regular"/>
          <w:sz w:val="20"/>
          <w:szCs w:val="20"/>
        </w:rPr>
      </w:pPr>
      <w:r>
        <w:rPr>
          <w:rFonts w:ascii="LMMono10-Regular" w:hAnsi="LMMono10-Regular" w:cs="LMMono10-Regular"/>
          <w:sz w:val="20"/>
          <w:szCs w:val="20"/>
        </w:rPr>
        <w:t xml:space="preserve">Pour chaque extrait ci-dessous, </w:t>
      </w:r>
    </w:p>
    <w:p w:rsidR="00765AD4" w:rsidRDefault="00844A96" w:rsidP="00844A96">
      <w:pPr>
        <w:tabs>
          <w:tab w:val="left" w:pos="567"/>
        </w:tabs>
        <w:autoSpaceDE w:val="0"/>
        <w:autoSpaceDN w:val="0"/>
        <w:adjustRightInd w:val="0"/>
        <w:spacing w:after="0" w:line="240" w:lineRule="auto"/>
        <w:rPr>
          <w:rFonts w:ascii="LMMono10-Regular" w:hAnsi="LMMono10-Regular" w:cs="LMMono10-Regular"/>
          <w:sz w:val="20"/>
          <w:szCs w:val="20"/>
        </w:rPr>
      </w:pPr>
      <w:r>
        <w:rPr>
          <w:rFonts w:ascii="LMMono10-Regular" w:hAnsi="LMMono10-Regular" w:cs="LMMono10-Regular"/>
          <w:sz w:val="20"/>
          <w:szCs w:val="20"/>
        </w:rPr>
        <w:tab/>
      </w:r>
      <w:r w:rsidR="0006515B">
        <w:rPr>
          <w:rFonts w:ascii="LMMono10-Regular" w:hAnsi="LMMono10-Regular" w:cs="LMMono10-Regular"/>
          <w:sz w:val="20"/>
          <w:szCs w:val="20"/>
        </w:rPr>
        <w:t>1°</w:t>
      </w:r>
      <w:r w:rsidR="00765AD4">
        <w:rPr>
          <w:rFonts w:ascii="LMMono10-Regular" w:hAnsi="LMMono10-Regular" w:cs="LMMono10-Regular"/>
          <w:sz w:val="20"/>
          <w:szCs w:val="20"/>
        </w:rPr>
        <w:t xml:space="preserve">insérez l'appel de citation </w:t>
      </w:r>
      <w:r w:rsidR="0006515B">
        <w:rPr>
          <w:rFonts w:ascii="LMMono10-Regular" w:hAnsi="LMMono10-Regular" w:cs="LMMono10-Regular"/>
          <w:sz w:val="20"/>
          <w:szCs w:val="20"/>
        </w:rPr>
        <w:t>en vous appuyant sur les références bibliographi</w:t>
      </w:r>
      <w:r>
        <w:rPr>
          <w:rFonts w:ascii="LMMono10-Regular" w:hAnsi="LMMono10-Regular" w:cs="LMMono10-Regular"/>
          <w:sz w:val="20"/>
          <w:szCs w:val="20"/>
        </w:rPr>
        <w:t>ques données en fin de document ;</w:t>
      </w:r>
    </w:p>
    <w:p w:rsidR="0006515B" w:rsidRDefault="00844A96" w:rsidP="00844A96">
      <w:pPr>
        <w:tabs>
          <w:tab w:val="left" w:pos="567"/>
        </w:tabs>
        <w:autoSpaceDE w:val="0"/>
        <w:autoSpaceDN w:val="0"/>
        <w:adjustRightInd w:val="0"/>
        <w:spacing w:after="0" w:line="240" w:lineRule="auto"/>
        <w:rPr>
          <w:rFonts w:ascii="LMMono10-Regular" w:hAnsi="LMMono10-Regular" w:cs="LMMono10-Regular"/>
          <w:sz w:val="20"/>
          <w:szCs w:val="20"/>
        </w:rPr>
      </w:pPr>
      <w:r>
        <w:rPr>
          <w:rFonts w:ascii="LMMono10-Regular" w:hAnsi="LMMono10-Regular" w:cs="LMMono10-Regular"/>
          <w:sz w:val="20"/>
          <w:szCs w:val="20"/>
        </w:rPr>
        <w:tab/>
      </w:r>
      <w:r w:rsidR="0006515B">
        <w:rPr>
          <w:rFonts w:ascii="LMMono10-Regular" w:hAnsi="LMMono10-Regular" w:cs="LMMono10-Regular"/>
          <w:sz w:val="20"/>
          <w:szCs w:val="20"/>
        </w:rPr>
        <w:t>2°</w:t>
      </w:r>
      <w:r>
        <w:rPr>
          <w:rFonts w:ascii="LMMono10-Regular" w:hAnsi="LMMono10-Regular" w:cs="LMMono10-Regular"/>
          <w:sz w:val="20"/>
          <w:szCs w:val="20"/>
        </w:rPr>
        <w:t>r</w:t>
      </w:r>
      <w:r w:rsidR="0006515B">
        <w:rPr>
          <w:rFonts w:ascii="LMMono10-Regular" w:hAnsi="LMMono10-Regular" w:cs="LMMono10-Regular"/>
          <w:sz w:val="20"/>
          <w:szCs w:val="20"/>
        </w:rPr>
        <w:t>eprenez le texte en le mettant en forme (indentation, interligne etc.), en rédigeant les références dans le style APA et en produisant la bibli</w:t>
      </w:r>
      <w:r>
        <w:rPr>
          <w:rFonts w:ascii="LMMono10-Regular" w:hAnsi="LMMono10-Regular" w:cs="LMMono10-Regular"/>
          <w:sz w:val="20"/>
          <w:szCs w:val="20"/>
        </w:rPr>
        <w:t>ographie de manière automatique.</w:t>
      </w:r>
    </w:p>
    <w:p w:rsidR="0055579F" w:rsidRDefault="0055579F" w:rsidP="00765AD4">
      <w:pPr>
        <w:autoSpaceDE w:val="0"/>
        <w:autoSpaceDN w:val="0"/>
        <w:adjustRightInd w:val="0"/>
        <w:spacing w:after="0" w:line="240" w:lineRule="auto"/>
        <w:rPr>
          <w:rFonts w:ascii="LMRoman12-Bold" w:hAnsi="LMRoman12-Bold" w:cs="LMRoman12-Bold"/>
          <w:b/>
          <w:bCs/>
          <w:sz w:val="24"/>
          <w:szCs w:val="24"/>
        </w:rPr>
      </w:pPr>
    </w:p>
    <w:p w:rsidR="0006515B" w:rsidRDefault="0055579F" w:rsidP="00765AD4">
      <w:pPr>
        <w:autoSpaceDE w:val="0"/>
        <w:autoSpaceDN w:val="0"/>
        <w:adjustRightInd w:val="0"/>
        <w:spacing w:after="0" w:line="240" w:lineRule="auto"/>
        <w:rPr>
          <w:rFonts w:ascii="LMRoman12-Bold" w:hAnsi="LMRoman12-Bold" w:cs="LMRoman12-Bold"/>
          <w:b/>
          <w:bCs/>
          <w:sz w:val="24"/>
          <w:szCs w:val="24"/>
        </w:rPr>
      </w:pPr>
      <w:r>
        <w:rPr>
          <w:rFonts w:ascii="LMRoman12-Bold" w:hAnsi="LMRoman12-Bold" w:cs="LMRoman12-Bold"/>
          <w:b/>
          <w:bCs/>
          <w:sz w:val="24"/>
          <w:szCs w:val="24"/>
        </w:rPr>
        <w:t>Corps du texte</w:t>
      </w:r>
    </w:p>
    <w:p w:rsidR="00765AD4" w:rsidRDefault="00765AD4" w:rsidP="00765AD4">
      <w:pPr>
        <w:autoSpaceDE w:val="0"/>
        <w:autoSpaceDN w:val="0"/>
        <w:adjustRightInd w:val="0"/>
        <w:spacing w:after="120" w:line="240" w:lineRule="auto"/>
        <w:rPr>
          <w:rFonts w:ascii="LMRoman10-Bold" w:hAnsi="LMRoman10-Bold" w:cs="LMRoman10-Bold"/>
          <w:b/>
          <w:bCs/>
          <w:sz w:val="20"/>
          <w:szCs w:val="20"/>
        </w:rPr>
      </w:pPr>
      <w:r>
        <w:rPr>
          <w:rFonts w:ascii="LMRoman10-Bold" w:hAnsi="LMRoman10-Bold" w:cs="LMRoman10-Bold"/>
          <w:b/>
          <w:bCs/>
          <w:sz w:val="20"/>
          <w:szCs w:val="20"/>
        </w:rPr>
        <w:t>1. Rapport de stage</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 xml:space="preserve">Avant mon départ j’avais entendu dire que les salaires étaient plus élevés aux Etats-Unis qu’en </w:t>
      </w:r>
      <w:r w:rsidR="0006515B">
        <w:rPr>
          <w:rFonts w:ascii="LMRoman10-Regular" w:hAnsi="LMRoman10-Regular" w:cs="LMRoman10-Regular"/>
          <w:sz w:val="20"/>
          <w:szCs w:val="20"/>
        </w:rPr>
        <w:t>F</w:t>
      </w:r>
      <w:r>
        <w:rPr>
          <w:rFonts w:ascii="LMRoman10-Regular" w:hAnsi="LMRoman10-Regular" w:cs="LMRoman10-Regular"/>
          <w:sz w:val="20"/>
          <w:szCs w:val="20"/>
        </w:rPr>
        <w:t>rance.Cependant, “vous devez payer pour tout ce que vous consommez, les systèmes sociaux et l’intervention de l’État étant réduits au minimum” (</w:t>
      </w:r>
      <w:r>
        <w:rPr>
          <w:rFonts w:ascii="LMRoman10-Bold" w:hAnsi="LMRoman10-Bold" w:cs="LMRoman10-Bold"/>
          <w:b/>
          <w:bCs/>
          <w:sz w:val="20"/>
          <w:szCs w:val="20"/>
        </w:rPr>
        <w:t>Appel de citation</w:t>
      </w:r>
      <w:r>
        <w:rPr>
          <w:rFonts w:ascii="LMRoman10-Regular" w:hAnsi="LMRoman10-Regular" w:cs="LMRoman10-Regular"/>
          <w:sz w:val="20"/>
          <w:szCs w:val="20"/>
        </w:rPr>
        <w:t>). J’ai donc compris que le niveau de rémunération est à mettre en perspective avec les dépenses de santé, de retraite, d’accès aux études, etc.</w:t>
      </w:r>
    </w:p>
    <w:p w:rsidR="00765AD4" w:rsidRDefault="00765AD4" w:rsidP="00765AD4">
      <w:pPr>
        <w:autoSpaceDE w:val="0"/>
        <w:autoSpaceDN w:val="0"/>
        <w:adjustRightInd w:val="0"/>
        <w:spacing w:after="120" w:line="240" w:lineRule="auto"/>
        <w:rPr>
          <w:rFonts w:ascii="LMRoman10-Bold" w:hAnsi="LMRoman10-Bold" w:cs="LMRoman10-Bold"/>
          <w:b/>
          <w:bCs/>
          <w:sz w:val="20"/>
          <w:szCs w:val="20"/>
        </w:rPr>
      </w:pPr>
      <w:r>
        <w:rPr>
          <w:rFonts w:ascii="LMRoman10-Bold" w:hAnsi="LMRoman10-Bold" w:cs="LMRoman10-Bold"/>
          <w:b/>
          <w:bCs/>
          <w:sz w:val="20"/>
          <w:szCs w:val="20"/>
        </w:rPr>
        <w:t>2. Dossier Culture</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La consommation de tomates s’est vraiment démocratisée au 20ème siècle. Ce légume a fait son apparition sur les tables sous de nombreuses formes : entière, en morceaux ou en jus, cuite ou crue et constitue une source de sels minéraux et de vitamines non négligeable dans la ration alimentaire moderne (</w:t>
      </w:r>
      <w:r>
        <w:rPr>
          <w:rFonts w:ascii="LMRoman10-Bold" w:hAnsi="LMRoman10-Bold" w:cs="LMRoman10-Bold"/>
          <w:b/>
          <w:bCs/>
          <w:sz w:val="20"/>
          <w:szCs w:val="20"/>
        </w:rPr>
        <w:t>Appel de citation</w:t>
      </w:r>
      <w:r>
        <w:rPr>
          <w:rFonts w:ascii="LMRoman10-Regular" w:hAnsi="LMRoman10-Regular" w:cs="LMRoman10-Regular"/>
          <w:sz w:val="20"/>
          <w:szCs w:val="20"/>
        </w:rPr>
        <w:t>).</w:t>
      </w:r>
    </w:p>
    <w:p w:rsidR="00765AD4" w:rsidRDefault="00765AD4" w:rsidP="00765AD4">
      <w:pPr>
        <w:autoSpaceDE w:val="0"/>
        <w:autoSpaceDN w:val="0"/>
        <w:adjustRightInd w:val="0"/>
        <w:spacing w:after="120" w:line="240" w:lineRule="auto"/>
        <w:rPr>
          <w:rFonts w:ascii="LMRoman10-Bold" w:hAnsi="LMRoman10-Bold" w:cs="LMRoman10-Bold"/>
          <w:b/>
          <w:bCs/>
          <w:sz w:val="20"/>
          <w:szCs w:val="20"/>
        </w:rPr>
      </w:pPr>
      <w:r>
        <w:rPr>
          <w:rFonts w:ascii="LMRoman10-Bold" w:hAnsi="LMRoman10-Bold" w:cs="LMRoman10-Bold"/>
          <w:b/>
          <w:bCs/>
          <w:sz w:val="20"/>
          <w:szCs w:val="20"/>
        </w:rPr>
        <w:t>3. Compte-rendu de TP TEA</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Il est important de pouvoir quantifier la teneur en azote d’un aliment. Elle peut être dosée en laboratoire par la Méthode Kjeldahl ou DUMAS (</w:t>
      </w:r>
      <w:r>
        <w:rPr>
          <w:rFonts w:ascii="LMRoman10-Bold" w:hAnsi="LMRoman10-Bold" w:cs="LMRoman10-Bold"/>
          <w:b/>
          <w:bCs/>
          <w:sz w:val="20"/>
          <w:szCs w:val="20"/>
        </w:rPr>
        <w:t>Appel de citation</w:t>
      </w:r>
      <w:r>
        <w:rPr>
          <w:rFonts w:ascii="LMRoman10-Regular" w:hAnsi="LMRoman10-Regular" w:cs="LMRoman10-Regular"/>
          <w:sz w:val="20"/>
          <w:szCs w:val="20"/>
        </w:rPr>
        <w:t>) qui permet de comparer la teneur en azote à la valeur nutritionnelle azotée.</w:t>
      </w:r>
    </w:p>
    <w:p w:rsidR="00765AD4" w:rsidRDefault="00765AD4" w:rsidP="00765AD4">
      <w:pPr>
        <w:autoSpaceDE w:val="0"/>
        <w:autoSpaceDN w:val="0"/>
        <w:adjustRightInd w:val="0"/>
        <w:spacing w:after="120" w:line="240" w:lineRule="auto"/>
        <w:rPr>
          <w:rFonts w:ascii="LMRoman10-Bold" w:hAnsi="LMRoman10-Bold" w:cs="LMRoman10-Bold"/>
          <w:b/>
          <w:bCs/>
          <w:sz w:val="20"/>
          <w:szCs w:val="20"/>
        </w:rPr>
      </w:pPr>
      <w:r>
        <w:rPr>
          <w:rFonts w:ascii="LMRoman10-Bold" w:hAnsi="LMRoman10-Bold" w:cs="LMRoman10-Bold"/>
          <w:b/>
          <w:bCs/>
          <w:sz w:val="20"/>
          <w:szCs w:val="20"/>
        </w:rPr>
        <w:t>4. Rapport IDS</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En fonction des espèces d’abeilles, le miel produit peut être “mis en réserve dans des cellules ou rayons (Apis) ou dans des urnes (Meliponideae)” (</w:t>
      </w:r>
      <w:r>
        <w:rPr>
          <w:rFonts w:ascii="LMRoman10-Bold" w:hAnsi="LMRoman10-Bold" w:cs="LMRoman10-Bold"/>
          <w:b/>
          <w:bCs/>
          <w:sz w:val="20"/>
          <w:szCs w:val="20"/>
        </w:rPr>
        <w:t>Appel de citation</w:t>
      </w:r>
      <w:r>
        <w:rPr>
          <w:rFonts w:ascii="LMRoman10-Regular" w:hAnsi="LMRoman10-Regular" w:cs="LMRoman10-Regular"/>
          <w:sz w:val="20"/>
          <w:szCs w:val="20"/>
        </w:rPr>
        <w:t>). Ce miel est ensuite extrait par écoulement, pression, centrifugation.</w:t>
      </w:r>
    </w:p>
    <w:p w:rsidR="00765AD4" w:rsidRDefault="00765AD4" w:rsidP="00765AD4">
      <w:pPr>
        <w:autoSpaceDE w:val="0"/>
        <w:autoSpaceDN w:val="0"/>
        <w:adjustRightInd w:val="0"/>
        <w:spacing w:after="120" w:line="240" w:lineRule="auto"/>
        <w:rPr>
          <w:rFonts w:ascii="LMRoman12-Bold" w:hAnsi="LMRoman12-Bold" w:cs="LMRoman12-Bold"/>
          <w:b/>
          <w:bCs/>
          <w:sz w:val="24"/>
          <w:szCs w:val="24"/>
        </w:rPr>
      </w:pPr>
      <w:r>
        <w:rPr>
          <w:rFonts w:ascii="LMRoman12-Bold" w:hAnsi="LMRoman12-Bold" w:cs="LMRoman12-Bold"/>
          <w:b/>
          <w:bCs/>
          <w:sz w:val="24"/>
          <w:szCs w:val="24"/>
        </w:rPr>
        <w:t>Références bibliographiques</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BLANCARD, Dominique, 2009. Les maladies de la tomate ; identifier, connaître, maîtriser. Paris:Quae, 268 p. ISBN 9782759203284.</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CAPITAINE, Mathieu et JEANNEAUX, Philippe, 2016. Agriculture en mouvement : Innovations</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stratégiques et performance globale. Dijon : Educagri. Chemins durables. ISBN 979-10-275-0090-1.</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CHAPOUTOT, Patrick, LECLERC, Marie-Catherine, BRUNSCHWIG, Philippe et BOULAN, Pierrick,</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2009. Guide pour la prévision de la valeur nutritive des coproduits pour les ruminants [en ligne]. Paris :</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Institut de l’Elevage. [Consulté le 9 avril 2020]. ISBN 978-2-84148-570-3. Disponible à l’adresse :</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http://idele.fr/no_cache/recherche/publication/idelesolr/recommends/guide-pour-la-prevision-de-lavaleur-nutritive-des-coproduits-pour-les-ruminants.html.</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FAO, 2017. Les légumineuses et la biodiversité. In : Organisation des Nation unies pour l’alimentation</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et l’agriculture [en ligne]. 2 mars 2017. [Consulté le 1 novembre 2018]. Disponible à l’adresse : http:</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//www.fao.org/resources/infographics/infographics-details/fr/c/472576/.</w:t>
      </w:r>
    </w:p>
    <w:p w:rsidR="004256C4" w:rsidRDefault="004256C4" w:rsidP="00765AD4">
      <w:pPr>
        <w:autoSpaceDE w:val="0"/>
        <w:autoSpaceDN w:val="0"/>
        <w:adjustRightInd w:val="0"/>
        <w:spacing w:after="120" w:line="240" w:lineRule="auto"/>
        <w:rPr>
          <w:rFonts w:ascii="LMRoman10-Regular" w:hAnsi="LMRoman10-Regular" w:cs="LMRoman10-Regular"/>
          <w:sz w:val="20"/>
          <w:szCs w:val="20"/>
        </w:rPr>
      </w:pPr>
    </w:p>
    <w:p w:rsidR="004256C4" w:rsidRDefault="004256C4" w:rsidP="00765AD4">
      <w:pPr>
        <w:autoSpaceDE w:val="0"/>
        <w:autoSpaceDN w:val="0"/>
        <w:adjustRightInd w:val="0"/>
        <w:spacing w:after="120" w:line="240" w:lineRule="auto"/>
        <w:rPr>
          <w:rFonts w:ascii="LMRoman10-Regular" w:hAnsi="LMRoman10-Regular" w:cs="LMRoman10-Regular"/>
          <w:sz w:val="20"/>
          <w:szCs w:val="20"/>
        </w:rPr>
      </w:pP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lastRenderedPageBreak/>
        <w:t>JUNGERMAN, Marc, 2017. Communiquer, s’expatrier, travailler aux Etats-Unis [en ligne]. La Plaine Saint-Denis : AFNOR. [Consulté le 14 avril 2020]. ISBN 978-2-12-465595-3. Disponible à l’adresse : http://unrra.scholarvox.com/catalog/book/88848432.</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LOBREAU-CALLEN, Danielle, CLÉMENT, Marie-Claude et MARMION, Vincent, 2000. Élaboration du</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miel (Réf : F7000 v1). In : Techniques de l’Ingénieur [en ligne]. 10 juin 2000. [Consulté le 14 avril 2020].Disponible à l’adresse : https://www.techniques-ingenieur.fr/base-documentaire/procedes-chimie-bioagro-th2/filiere-de-production-produits-d-origine-animale-42432210/les-miels-f7000/elaboration-du-mielf7000niv10001.html.</w:t>
      </w:r>
    </w:p>
    <w:p w:rsidR="00765AD4" w:rsidRDefault="00765AD4" w:rsidP="00765AD4">
      <w:pPr>
        <w:autoSpaceDE w:val="0"/>
        <w:autoSpaceDN w:val="0"/>
        <w:adjustRightInd w:val="0"/>
        <w:spacing w:after="120" w:line="240" w:lineRule="auto"/>
        <w:rPr>
          <w:rFonts w:ascii="LMRoman10-Regular" w:hAnsi="LMRoman10-Regular" w:cs="LMRoman10-Regular"/>
          <w:sz w:val="20"/>
          <w:szCs w:val="20"/>
        </w:rPr>
      </w:pPr>
      <w:r>
        <w:rPr>
          <w:rFonts w:ascii="LMRoman10-Regular" w:hAnsi="LMRoman10-Regular" w:cs="LMRoman10-Regular"/>
          <w:sz w:val="20"/>
          <w:szCs w:val="20"/>
        </w:rPr>
        <w:t>VANACKER, Marie, WEZEL, Alexander, ARTHAUD, Florent, GUÉRIN, Mathieu et ROBIN, Joël, 2016.</w:t>
      </w:r>
    </w:p>
    <w:p w:rsidR="00765AD4" w:rsidRPr="00765AD4" w:rsidRDefault="00765AD4" w:rsidP="00765AD4">
      <w:pPr>
        <w:autoSpaceDE w:val="0"/>
        <w:autoSpaceDN w:val="0"/>
        <w:adjustRightInd w:val="0"/>
        <w:spacing w:after="120" w:line="240" w:lineRule="auto"/>
        <w:rPr>
          <w:rFonts w:ascii="LMRoman10-Regular" w:hAnsi="LMRoman10-Regular" w:cs="LMRoman10-Regular"/>
          <w:sz w:val="20"/>
          <w:szCs w:val="20"/>
          <w:lang w:val="en-US"/>
        </w:rPr>
      </w:pPr>
      <w:r w:rsidRPr="00765AD4">
        <w:rPr>
          <w:rFonts w:ascii="LMRoman10-Regular" w:hAnsi="LMRoman10-Regular" w:cs="LMRoman10-Regular"/>
          <w:sz w:val="20"/>
          <w:szCs w:val="20"/>
          <w:lang w:val="en-US"/>
        </w:rPr>
        <w:t>Determination of tipping points for aquatic plants and water quality parameters in fish pond systems: A</w:t>
      </w:r>
    </w:p>
    <w:p w:rsidR="000E543B" w:rsidRDefault="00765AD4" w:rsidP="00765AD4">
      <w:pPr>
        <w:spacing w:after="120" w:line="240" w:lineRule="auto"/>
        <w:rPr>
          <w:rFonts w:ascii="LMRoman10-Regular" w:hAnsi="LMRoman10-Regular" w:cs="LMRoman10-Regular"/>
          <w:sz w:val="20"/>
          <w:szCs w:val="20"/>
        </w:rPr>
      </w:pPr>
      <w:r w:rsidRPr="00765AD4">
        <w:rPr>
          <w:rFonts w:ascii="LMRoman10-Regular" w:hAnsi="LMRoman10-Regular" w:cs="LMRoman10-Regular"/>
          <w:sz w:val="20"/>
          <w:szCs w:val="20"/>
          <w:lang w:val="en-US"/>
        </w:rPr>
        <w:t xml:space="preserve">multi-year approach. In : Ecological Indicators. mai 2016. </w:t>
      </w:r>
      <w:r>
        <w:rPr>
          <w:rFonts w:ascii="LMRoman10-Regular" w:hAnsi="LMRoman10-Regular" w:cs="LMRoman10-Regular"/>
          <w:sz w:val="20"/>
          <w:szCs w:val="20"/>
        </w:rPr>
        <w:t>Vol. 64, p. 39-48.</w:t>
      </w:r>
    </w:p>
    <w:p w:rsidR="004256C4" w:rsidRDefault="004256C4" w:rsidP="00765AD4">
      <w:pPr>
        <w:spacing w:after="120" w:line="240" w:lineRule="auto"/>
        <w:sectPr w:rsidR="004256C4">
          <w:headerReference w:type="default" r:id="rId6"/>
          <w:pgSz w:w="11906" w:h="16838"/>
          <w:pgMar w:top="1417" w:right="1417" w:bottom="1417" w:left="1417" w:header="708" w:footer="708" w:gutter="0"/>
          <w:cols w:space="708"/>
          <w:docGrid w:linePitch="360"/>
        </w:sectPr>
      </w:pPr>
    </w:p>
    <w:p w:rsidR="004256C4" w:rsidRDefault="004256C4" w:rsidP="002216AB">
      <w:pPr>
        <w:autoSpaceDE w:val="0"/>
        <w:autoSpaceDN w:val="0"/>
        <w:adjustRightInd w:val="0"/>
        <w:spacing w:after="0" w:line="240" w:lineRule="auto"/>
        <w:jc w:val="center"/>
        <w:rPr>
          <w:rFonts w:ascii="LMRoman12-Bold" w:hAnsi="LMRoman12-Bold" w:cs="LMRoman12-Bold"/>
          <w:b/>
          <w:bCs/>
          <w:sz w:val="24"/>
          <w:szCs w:val="24"/>
        </w:rPr>
      </w:pPr>
      <w:r>
        <w:rPr>
          <w:rFonts w:ascii="LMRoman12-Bold" w:hAnsi="LMRoman12-Bold" w:cs="LMRoman12-Bold"/>
          <w:b/>
          <w:bCs/>
          <w:sz w:val="24"/>
          <w:szCs w:val="24"/>
        </w:rPr>
        <w:lastRenderedPageBreak/>
        <w:t>SOLUTION Exo 4bis</w:t>
      </w:r>
    </w:p>
    <w:p w:rsidR="004256C4" w:rsidRDefault="004256C4" w:rsidP="004256C4">
      <w:pPr>
        <w:autoSpaceDE w:val="0"/>
        <w:autoSpaceDN w:val="0"/>
        <w:adjustRightInd w:val="0"/>
        <w:spacing w:after="0" w:line="240" w:lineRule="auto"/>
        <w:rPr>
          <w:rFonts w:ascii="LMRoman12-Bold" w:hAnsi="LMRoman12-Bold" w:cs="LMRoman12-Bold"/>
          <w:b/>
          <w:bCs/>
          <w:sz w:val="24"/>
          <w:szCs w:val="24"/>
        </w:rPr>
      </w:pPr>
      <w:r>
        <w:rPr>
          <w:rFonts w:ascii="LMRoman12-Bold" w:hAnsi="LMRoman12-Bold" w:cs="LMRoman12-Bold"/>
          <w:b/>
          <w:bCs/>
          <w:sz w:val="24"/>
          <w:szCs w:val="24"/>
        </w:rPr>
        <w:t>Corps du texte</w:t>
      </w:r>
    </w:p>
    <w:p w:rsidR="004256C4" w:rsidRDefault="004256C4" w:rsidP="004256C4">
      <w:pPr>
        <w:autoSpaceDE w:val="0"/>
        <w:autoSpaceDN w:val="0"/>
        <w:adjustRightInd w:val="0"/>
        <w:spacing w:after="120" w:line="240" w:lineRule="auto"/>
        <w:rPr>
          <w:rFonts w:ascii="LMRoman10-Bold" w:hAnsi="LMRoman10-Bold" w:cs="LMRoman10-Bold"/>
          <w:b/>
          <w:bCs/>
          <w:sz w:val="20"/>
          <w:szCs w:val="20"/>
        </w:rPr>
      </w:pPr>
      <w:r>
        <w:rPr>
          <w:rFonts w:ascii="LMRoman10-Bold" w:hAnsi="LMRoman10-Bold" w:cs="LMRoman10-Bold"/>
          <w:b/>
          <w:bCs/>
          <w:sz w:val="20"/>
          <w:szCs w:val="20"/>
        </w:rPr>
        <w:t>1. Rapport de stage</w:t>
      </w:r>
    </w:p>
    <w:p w:rsidR="004256C4" w:rsidRDefault="004256C4" w:rsidP="009E40C5">
      <w:pPr>
        <w:autoSpaceDE w:val="0"/>
        <w:autoSpaceDN w:val="0"/>
        <w:adjustRightInd w:val="0"/>
        <w:spacing w:after="120" w:line="360" w:lineRule="auto"/>
        <w:jc w:val="both"/>
        <w:rPr>
          <w:rFonts w:ascii="LMRoman10-Regular" w:hAnsi="LMRoman10-Regular" w:cs="LMRoman10-Regular"/>
          <w:sz w:val="20"/>
          <w:szCs w:val="20"/>
        </w:rPr>
      </w:pPr>
      <w:r>
        <w:rPr>
          <w:rFonts w:ascii="LMRoman10-Regular" w:hAnsi="LMRoman10-Regular" w:cs="LMRoman10-Regular"/>
          <w:sz w:val="20"/>
          <w:szCs w:val="20"/>
        </w:rPr>
        <w:t>Avant mon départ j’avais entendu dire que les salaires étaient plus élevés aux Etats-Unis qu’en France. Cependant, “vous devez payer pour tout ce que vous consommez, les systèmes sociaux et l’intervention de l’État étant réduits au minimum” (JUNGERMAN, M, 2017). J’ai donc compris que le niveau de rémunération est à mettre en perspective avec les dépenses de santé, de retraite, d’accès aux études, etc.</w:t>
      </w:r>
    </w:p>
    <w:p w:rsidR="004256C4" w:rsidRDefault="004256C4" w:rsidP="009E40C5">
      <w:pPr>
        <w:autoSpaceDE w:val="0"/>
        <w:autoSpaceDN w:val="0"/>
        <w:adjustRightInd w:val="0"/>
        <w:spacing w:after="120" w:line="360" w:lineRule="auto"/>
        <w:jc w:val="both"/>
        <w:rPr>
          <w:rFonts w:ascii="LMRoman10-Bold" w:hAnsi="LMRoman10-Bold" w:cs="LMRoman10-Bold"/>
          <w:b/>
          <w:bCs/>
          <w:sz w:val="20"/>
          <w:szCs w:val="20"/>
        </w:rPr>
      </w:pPr>
      <w:r>
        <w:rPr>
          <w:rFonts w:ascii="LMRoman10-Bold" w:hAnsi="LMRoman10-Bold" w:cs="LMRoman10-Bold"/>
          <w:b/>
          <w:bCs/>
          <w:sz w:val="20"/>
          <w:szCs w:val="20"/>
        </w:rPr>
        <w:t>2. Dossier Culture</w:t>
      </w:r>
    </w:p>
    <w:p w:rsidR="004256C4" w:rsidRDefault="004256C4" w:rsidP="009E40C5">
      <w:pPr>
        <w:autoSpaceDE w:val="0"/>
        <w:autoSpaceDN w:val="0"/>
        <w:adjustRightInd w:val="0"/>
        <w:spacing w:after="120" w:line="360" w:lineRule="auto"/>
        <w:jc w:val="both"/>
        <w:rPr>
          <w:rFonts w:ascii="LMRoman10-Regular" w:hAnsi="LMRoman10-Regular" w:cs="LMRoman10-Regular"/>
          <w:sz w:val="20"/>
          <w:szCs w:val="20"/>
        </w:rPr>
      </w:pPr>
      <w:r>
        <w:rPr>
          <w:rFonts w:ascii="LMRoman10-Regular" w:hAnsi="LMRoman10-Regular" w:cs="LMRoman10-Regular"/>
          <w:sz w:val="20"/>
          <w:szCs w:val="20"/>
        </w:rPr>
        <w:t xml:space="preserve">La consommation de tomates s’est vraiment démocratisée au 20ème siècle. Ce légume a fait son apparition sur les tables sous de nombreuses formes : entière, en morceaux ou en jus, cuite ou crue et constitue une source de sels minéraux et de vitamines non négligeable dans la ration alimentaire </w:t>
      </w:r>
      <w:bookmarkStart w:id="0" w:name="_GoBack"/>
      <w:bookmarkEnd w:id="0"/>
      <w:r>
        <w:rPr>
          <w:rFonts w:ascii="LMRoman10-Regular" w:hAnsi="LMRoman10-Regular" w:cs="LMRoman10-Regular"/>
          <w:sz w:val="20"/>
          <w:szCs w:val="20"/>
        </w:rPr>
        <w:t>moderne (BLANCARD, D., 2009).</w:t>
      </w:r>
    </w:p>
    <w:p w:rsidR="004256C4" w:rsidRDefault="004256C4" w:rsidP="009E40C5">
      <w:pPr>
        <w:autoSpaceDE w:val="0"/>
        <w:autoSpaceDN w:val="0"/>
        <w:adjustRightInd w:val="0"/>
        <w:spacing w:after="120" w:line="360" w:lineRule="auto"/>
        <w:jc w:val="both"/>
        <w:rPr>
          <w:rFonts w:ascii="LMRoman10-Bold" w:hAnsi="LMRoman10-Bold" w:cs="LMRoman10-Bold"/>
          <w:b/>
          <w:bCs/>
          <w:sz w:val="20"/>
          <w:szCs w:val="20"/>
        </w:rPr>
      </w:pPr>
      <w:r>
        <w:rPr>
          <w:rFonts w:ascii="LMRoman10-Bold" w:hAnsi="LMRoman10-Bold" w:cs="LMRoman10-Bold"/>
          <w:b/>
          <w:bCs/>
          <w:sz w:val="20"/>
          <w:szCs w:val="20"/>
        </w:rPr>
        <w:t>3. Compte-rendu de TP TEA</w:t>
      </w:r>
    </w:p>
    <w:p w:rsidR="004256C4" w:rsidRDefault="004256C4" w:rsidP="009E40C5">
      <w:pPr>
        <w:autoSpaceDE w:val="0"/>
        <w:autoSpaceDN w:val="0"/>
        <w:adjustRightInd w:val="0"/>
        <w:spacing w:after="120" w:line="360" w:lineRule="auto"/>
        <w:jc w:val="both"/>
        <w:rPr>
          <w:rFonts w:ascii="LMRoman10-Regular" w:hAnsi="LMRoman10-Regular" w:cs="LMRoman10-Regular"/>
          <w:sz w:val="20"/>
          <w:szCs w:val="20"/>
        </w:rPr>
      </w:pPr>
      <w:r>
        <w:rPr>
          <w:rFonts w:ascii="LMRoman10-Regular" w:hAnsi="LMRoman10-Regular" w:cs="LMRoman10-Regular"/>
          <w:sz w:val="20"/>
          <w:szCs w:val="20"/>
        </w:rPr>
        <w:t>Il est important de pouvoir quantifier la teneur en azote d’un aliment. Elle peut être dosée en laboratoire par la Méthode Kjeldahl ou DUMAS (</w:t>
      </w:r>
      <w:r w:rsidR="00C1611B">
        <w:rPr>
          <w:rFonts w:ascii="LMRoman10-Regular" w:hAnsi="LMRoman10-Regular" w:cs="LMRoman10-Regular"/>
          <w:sz w:val="20"/>
          <w:szCs w:val="20"/>
        </w:rPr>
        <w:t>CHAPOUTOT, P. &amp; al, 2009</w:t>
      </w:r>
      <w:r>
        <w:rPr>
          <w:rFonts w:ascii="LMRoman10-Regular" w:hAnsi="LMRoman10-Regular" w:cs="LMRoman10-Regular"/>
          <w:sz w:val="20"/>
          <w:szCs w:val="20"/>
        </w:rPr>
        <w:t>) qui permet de comparer la teneur en azote à la valeur nutritionnelle azotée.</w:t>
      </w:r>
    </w:p>
    <w:p w:rsidR="004256C4" w:rsidRDefault="004256C4" w:rsidP="009E40C5">
      <w:pPr>
        <w:autoSpaceDE w:val="0"/>
        <w:autoSpaceDN w:val="0"/>
        <w:adjustRightInd w:val="0"/>
        <w:spacing w:after="120" w:line="360" w:lineRule="auto"/>
        <w:jc w:val="both"/>
        <w:rPr>
          <w:rFonts w:ascii="LMRoman10-Bold" w:hAnsi="LMRoman10-Bold" w:cs="LMRoman10-Bold"/>
          <w:b/>
          <w:bCs/>
          <w:sz w:val="20"/>
          <w:szCs w:val="20"/>
        </w:rPr>
      </w:pPr>
      <w:r>
        <w:rPr>
          <w:rFonts w:ascii="LMRoman10-Bold" w:hAnsi="LMRoman10-Bold" w:cs="LMRoman10-Bold"/>
          <w:b/>
          <w:bCs/>
          <w:sz w:val="20"/>
          <w:szCs w:val="20"/>
        </w:rPr>
        <w:t>4. Rapport IDS</w:t>
      </w:r>
    </w:p>
    <w:p w:rsidR="004256C4" w:rsidRDefault="004256C4" w:rsidP="009E40C5">
      <w:pPr>
        <w:autoSpaceDE w:val="0"/>
        <w:autoSpaceDN w:val="0"/>
        <w:adjustRightInd w:val="0"/>
        <w:spacing w:after="120" w:line="360" w:lineRule="auto"/>
        <w:jc w:val="both"/>
        <w:rPr>
          <w:rFonts w:ascii="LMRoman10-Regular" w:hAnsi="LMRoman10-Regular" w:cs="LMRoman10-Regular"/>
          <w:sz w:val="20"/>
          <w:szCs w:val="20"/>
        </w:rPr>
      </w:pPr>
      <w:r>
        <w:rPr>
          <w:rFonts w:ascii="LMRoman10-Regular" w:hAnsi="LMRoman10-Regular" w:cs="LMRoman10-Regular"/>
          <w:sz w:val="20"/>
          <w:szCs w:val="20"/>
        </w:rPr>
        <w:t>En fonction des espèces d’abeilles, le miel produit peut être “mis en réserve dans des cellules ou rayons (Apis) ou dans des urnes (Meliponideae)” (</w:t>
      </w:r>
      <w:r w:rsidR="00C1611B">
        <w:rPr>
          <w:rFonts w:ascii="LMRoman10-Regular" w:hAnsi="LMRoman10-Regular" w:cs="LMRoman10-Regular"/>
          <w:sz w:val="20"/>
          <w:szCs w:val="20"/>
        </w:rPr>
        <w:t>LOBREAU-CALLEN, D., CLÉMENT, M.C., MARMION, V., 2000</w:t>
      </w:r>
      <w:r>
        <w:rPr>
          <w:rFonts w:ascii="LMRoman10-Regular" w:hAnsi="LMRoman10-Regular" w:cs="LMRoman10-Regular"/>
          <w:sz w:val="20"/>
          <w:szCs w:val="20"/>
        </w:rPr>
        <w:t>). Ce miel est ensuite extrait par écoulement, pression, centrifugation.</w:t>
      </w:r>
    </w:p>
    <w:p w:rsidR="004256C4" w:rsidRDefault="004256C4" w:rsidP="004256C4">
      <w:pPr>
        <w:autoSpaceDE w:val="0"/>
        <w:autoSpaceDN w:val="0"/>
        <w:adjustRightInd w:val="0"/>
        <w:spacing w:after="120" w:line="240" w:lineRule="auto"/>
        <w:rPr>
          <w:rFonts w:ascii="LMRoman12-Bold" w:hAnsi="LMRoman12-Bold" w:cs="LMRoman12-Bold"/>
          <w:b/>
          <w:bCs/>
          <w:sz w:val="24"/>
          <w:szCs w:val="24"/>
        </w:rPr>
      </w:pPr>
      <w:r>
        <w:rPr>
          <w:rFonts w:ascii="LMRoman12-Bold" w:hAnsi="LMRoman12-Bold" w:cs="LMRoman12-Bold"/>
          <w:b/>
          <w:bCs/>
          <w:sz w:val="24"/>
          <w:szCs w:val="24"/>
        </w:rPr>
        <w:t>Références bibliographiques</w:t>
      </w:r>
      <w:r w:rsidR="002216AB" w:rsidRPr="009F2FC7">
        <w:rPr>
          <w:rFonts w:ascii="LMRoman12-Bold" w:hAnsi="LMRoman12-Bold" w:cs="LMRoman12-Bold"/>
          <w:bCs/>
          <w:sz w:val="20"/>
          <w:szCs w:val="20"/>
        </w:rPr>
        <w:t xml:space="preserve">(à revoir </w:t>
      </w:r>
      <w:r w:rsidR="00263566" w:rsidRPr="009F2FC7">
        <w:rPr>
          <w:rFonts w:ascii="LMRoman12-Bold" w:hAnsi="LMRoman12-Bold" w:cs="LMRoman12-Bold"/>
          <w:bCs/>
          <w:sz w:val="20"/>
          <w:szCs w:val="20"/>
        </w:rPr>
        <w:t>pour la conformité avec</w:t>
      </w:r>
      <w:r w:rsidR="002216AB" w:rsidRPr="009F2FC7">
        <w:rPr>
          <w:rFonts w:ascii="LMRoman12-Bold" w:hAnsi="LMRoman12-Bold" w:cs="LMRoman12-Bold"/>
          <w:bCs/>
          <w:sz w:val="20"/>
          <w:szCs w:val="20"/>
        </w:rPr>
        <w:t xml:space="preserve"> le style APA)</w:t>
      </w:r>
    </w:p>
    <w:p w:rsidR="00C1611B" w:rsidRDefault="00C1611B" w:rsidP="00756D00">
      <w:pPr>
        <w:autoSpaceDE w:val="0"/>
        <w:autoSpaceDN w:val="0"/>
        <w:adjustRightInd w:val="0"/>
        <w:spacing w:after="240" w:line="276" w:lineRule="auto"/>
        <w:jc w:val="both"/>
        <w:rPr>
          <w:rFonts w:ascii="LMRoman10-Regular" w:hAnsi="LMRoman10-Regular" w:cs="LMRoman10-Regular"/>
          <w:sz w:val="20"/>
          <w:szCs w:val="20"/>
        </w:rPr>
      </w:pPr>
      <w:r>
        <w:rPr>
          <w:rFonts w:ascii="LMRoman10-Regular" w:hAnsi="LMRoman10-Regular" w:cs="LMRoman10-Regular"/>
          <w:sz w:val="20"/>
          <w:szCs w:val="20"/>
        </w:rPr>
        <w:t>BLANCARD, Dominique, 2009. Les maladies de la tomate ; identifier, connaître, maîtriser. Paris:Quae, 268 p. ISBN 9782759203284.</w:t>
      </w:r>
    </w:p>
    <w:p w:rsidR="00C1611B" w:rsidRDefault="00C1611B" w:rsidP="00756D00">
      <w:pPr>
        <w:autoSpaceDE w:val="0"/>
        <w:autoSpaceDN w:val="0"/>
        <w:adjustRightInd w:val="0"/>
        <w:spacing w:after="0" w:line="276" w:lineRule="auto"/>
        <w:jc w:val="both"/>
        <w:rPr>
          <w:rFonts w:ascii="LMRoman10-Regular" w:hAnsi="LMRoman10-Regular" w:cs="LMRoman10-Regular"/>
          <w:sz w:val="20"/>
          <w:szCs w:val="20"/>
        </w:rPr>
      </w:pPr>
      <w:r>
        <w:rPr>
          <w:rFonts w:ascii="LMRoman10-Regular" w:hAnsi="LMRoman10-Regular" w:cs="LMRoman10-Regular"/>
          <w:sz w:val="20"/>
          <w:szCs w:val="20"/>
        </w:rPr>
        <w:t>CHAPOUTOT, Patrick, LECLERC, Marie-Catherine, BRUNSCHWIG, Philippe et BOULAN, Pierrick,2009. Guide pour la prévision de la valeur nutritive des coproduits pour les ruminants [en ligne]. Paris :</w:t>
      </w:r>
    </w:p>
    <w:p w:rsidR="00C1611B" w:rsidRDefault="00C1611B" w:rsidP="00756D00">
      <w:pPr>
        <w:autoSpaceDE w:val="0"/>
        <w:autoSpaceDN w:val="0"/>
        <w:adjustRightInd w:val="0"/>
        <w:spacing w:after="0" w:line="276" w:lineRule="auto"/>
        <w:jc w:val="both"/>
        <w:rPr>
          <w:rFonts w:ascii="LMRoman10-Regular" w:hAnsi="LMRoman10-Regular" w:cs="LMRoman10-Regular"/>
          <w:sz w:val="20"/>
          <w:szCs w:val="20"/>
        </w:rPr>
      </w:pPr>
      <w:r>
        <w:rPr>
          <w:rFonts w:ascii="LMRoman10-Regular" w:hAnsi="LMRoman10-Regular" w:cs="LMRoman10-Regular"/>
          <w:sz w:val="20"/>
          <w:szCs w:val="20"/>
        </w:rPr>
        <w:t>Institut de l’Elevage. [Consulté le 9 avril 2020]. ISBN 978-2-84148-570-3. Disponible à l’adresse :</w:t>
      </w:r>
    </w:p>
    <w:p w:rsidR="00C1611B" w:rsidRDefault="00C1611B" w:rsidP="00756D00">
      <w:pPr>
        <w:autoSpaceDE w:val="0"/>
        <w:autoSpaceDN w:val="0"/>
        <w:adjustRightInd w:val="0"/>
        <w:spacing w:after="240" w:line="276" w:lineRule="auto"/>
        <w:jc w:val="both"/>
        <w:rPr>
          <w:rFonts w:ascii="LMRoman10-Regular" w:hAnsi="LMRoman10-Regular" w:cs="LMRoman10-Regular"/>
          <w:sz w:val="20"/>
          <w:szCs w:val="20"/>
        </w:rPr>
      </w:pPr>
      <w:r>
        <w:rPr>
          <w:rFonts w:ascii="LMRoman10-Regular" w:hAnsi="LMRoman10-Regular" w:cs="LMRoman10-Regular"/>
          <w:sz w:val="20"/>
          <w:szCs w:val="20"/>
        </w:rPr>
        <w:t>http://idele.fr/no_cache/recherche/publication/idelesolr/recommends/guide-pour-la-prevision-de-</w:t>
      </w:r>
      <w:r w:rsidR="00756D00">
        <w:rPr>
          <w:rFonts w:ascii="LMRoman10-Regular" w:hAnsi="LMRoman10-Regular" w:cs="LMRoman10-Regular"/>
          <w:sz w:val="20"/>
          <w:szCs w:val="20"/>
        </w:rPr>
        <w:t>l</w:t>
      </w:r>
      <w:r>
        <w:rPr>
          <w:rFonts w:ascii="LMRoman10-Regular" w:hAnsi="LMRoman10-Regular" w:cs="LMRoman10-Regular"/>
          <w:sz w:val="20"/>
          <w:szCs w:val="20"/>
        </w:rPr>
        <w:t>avaleur-nutritive-des-coproduits-pour-les-ruminants.html.</w:t>
      </w:r>
    </w:p>
    <w:p w:rsidR="00C1611B" w:rsidRDefault="00C1611B" w:rsidP="00756D00">
      <w:pPr>
        <w:autoSpaceDE w:val="0"/>
        <w:autoSpaceDN w:val="0"/>
        <w:adjustRightInd w:val="0"/>
        <w:spacing w:after="0" w:line="276" w:lineRule="auto"/>
        <w:jc w:val="both"/>
        <w:rPr>
          <w:rFonts w:ascii="LMRoman10-Regular" w:hAnsi="LMRoman10-Regular" w:cs="LMRoman10-Regular"/>
          <w:sz w:val="20"/>
          <w:szCs w:val="20"/>
        </w:rPr>
      </w:pPr>
      <w:r>
        <w:rPr>
          <w:rFonts w:ascii="LMRoman10-Regular" w:hAnsi="LMRoman10-Regular" w:cs="LMRoman10-Regular"/>
          <w:sz w:val="20"/>
          <w:szCs w:val="20"/>
        </w:rPr>
        <w:t>LOBREAU-CALLEN, Danielle, CLÉMENT, Marie-Claude et MARMION, Vincent, 2000. Élaboration du</w:t>
      </w:r>
    </w:p>
    <w:p w:rsidR="00C1611B" w:rsidRDefault="00C1611B" w:rsidP="00756D00">
      <w:pPr>
        <w:autoSpaceDE w:val="0"/>
        <w:autoSpaceDN w:val="0"/>
        <w:adjustRightInd w:val="0"/>
        <w:spacing w:after="240" w:line="276" w:lineRule="auto"/>
        <w:jc w:val="both"/>
        <w:rPr>
          <w:rFonts w:ascii="LMRoman10-Regular" w:hAnsi="LMRoman10-Regular" w:cs="LMRoman10-Regular"/>
          <w:sz w:val="20"/>
          <w:szCs w:val="20"/>
        </w:rPr>
      </w:pPr>
      <w:r>
        <w:rPr>
          <w:rFonts w:ascii="LMRoman10-Regular" w:hAnsi="LMRoman10-Regular" w:cs="LMRoman10-Regular"/>
          <w:sz w:val="20"/>
          <w:szCs w:val="20"/>
        </w:rPr>
        <w:t>miel (Réf : F7000 v1). In : Techniques de l’Ingénieur [en ligne]. 10 juin 2000. [Consulté le 14 avril 2020].Disponible à l’adresse : https://www.techniques-ingenieur.fr/base-documentaire/procedes-chimie-bioagro-th2/filiere-de-production-produits-d-origine-animale-42432210/les-miels-f7000/elaboration-du-mielf7000niv10001.html.</w:t>
      </w:r>
    </w:p>
    <w:p w:rsidR="00C1611B" w:rsidRDefault="00C1611B" w:rsidP="00756D00">
      <w:pPr>
        <w:autoSpaceDE w:val="0"/>
        <w:autoSpaceDN w:val="0"/>
        <w:adjustRightInd w:val="0"/>
        <w:spacing w:after="120" w:line="276" w:lineRule="auto"/>
        <w:jc w:val="both"/>
        <w:rPr>
          <w:rFonts w:ascii="LMRoman10-Regular" w:hAnsi="LMRoman10-Regular" w:cs="LMRoman10-Regular"/>
          <w:sz w:val="20"/>
          <w:szCs w:val="20"/>
        </w:rPr>
      </w:pPr>
      <w:r>
        <w:rPr>
          <w:rFonts w:ascii="LMRoman10-Regular" w:hAnsi="LMRoman10-Regular" w:cs="LMRoman10-Regular"/>
          <w:sz w:val="20"/>
          <w:szCs w:val="20"/>
        </w:rPr>
        <w:t>JUNGERMAN, Marc, 2017. Communiquer, s’expatrier, travailler aux Etats-Unis [en ligne]. La Plaine Saint-Denis : AFNOR. [Consulté le 14 avril 2020]. ISBN 978-2-12-465595-3. Disponible à l’adresse : http://unrra.scholarvox.com/catalog/book/88848432.</w:t>
      </w:r>
    </w:p>
    <w:p w:rsidR="004256C4" w:rsidRDefault="004256C4" w:rsidP="00765AD4">
      <w:pPr>
        <w:spacing w:after="120" w:line="240" w:lineRule="auto"/>
      </w:pPr>
    </w:p>
    <w:sectPr w:rsidR="004256C4" w:rsidSect="00FB2C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B50" w:rsidRDefault="00F22B50" w:rsidP="0043250B">
      <w:pPr>
        <w:spacing w:after="0" w:line="240" w:lineRule="auto"/>
      </w:pPr>
      <w:r>
        <w:separator/>
      </w:r>
    </w:p>
  </w:endnote>
  <w:endnote w:type="continuationSeparator" w:id="1">
    <w:p w:rsidR="00F22B50" w:rsidRDefault="00F22B50" w:rsidP="004325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MRoman17-Regular">
    <w:panose1 w:val="00000000000000000000"/>
    <w:charset w:val="00"/>
    <w:family w:val="auto"/>
    <w:notTrueType/>
    <w:pitch w:val="default"/>
    <w:sig w:usb0="00000003" w:usb1="00000000" w:usb2="00000000" w:usb3="00000000" w:csb0="00000001" w:csb1="00000000"/>
  </w:font>
  <w:font w:name="LMRoman12-Regular">
    <w:panose1 w:val="00000000000000000000"/>
    <w:charset w:val="00"/>
    <w:family w:val="auto"/>
    <w:notTrueType/>
    <w:pitch w:val="default"/>
    <w:sig w:usb0="00000003" w:usb1="00000000" w:usb2="00000000" w:usb3="00000000" w:csb0="00000001" w:csb1="00000000"/>
  </w:font>
  <w:font w:name="LMRoman10-Regular">
    <w:panose1 w:val="00000000000000000000"/>
    <w:charset w:val="00"/>
    <w:family w:val="auto"/>
    <w:notTrueType/>
    <w:pitch w:val="default"/>
    <w:sig w:usb0="00000003" w:usb1="00000000" w:usb2="00000000" w:usb3="00000000" w:csb0="00000001" w:csb1="00000000"/>
  </w:font>
  <w:font w:name="LMRoman10-Italic">
    <w:panose1 w:val="00000000000000000000"/>
    <w:charset w:val="00"/>
    <w:family w:val="auto"/>
    <w:notTrueType/>
    <w:pitch w:val="default"/>
    <w:sig w:usb0="00000003" w:usb1="00000000" w:usb2="00000000" w:usb3="00000000" w:csb0="00000001" w:csb1="00000000"/>
  </w:font>
  <w:font w:name="LMRoman10-Bold">
    <w:panose1 w:val="00000000000000000000"/>
    <w:charset w:val="00"/>
    <w:family w:val="auto"/>
    <w:notTrueType/>
    <w:pitch w:val="default"/>
    <w:sig w:usb0="00000003" w:usb1="00000000" w:usb2="00000000" w:usb3="00000000" w:csb0="00000001" w:csb1="00000000"/>
  </w:font>
  <w:font w:name="LMMono10-Regular">
    <w:panose1 w:val="00000000000000000000"/>
    <w:charset w:val="00"/>
    <w:family w:val="auto"/>
    <w:notTrueType/>
    <w:pitch w:val="default"/>
    <w:sig w:usb0="00000003" w:usb1="00000000" w:usb2="00000000" w:usb3="00000000" w:csb0="00000001" w:csb1="00000000"/>
  </w:font>
  <w:font w:name="LMRoman12-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B50" w:rsidRDefault="00F22B50" w:rsidP="0043250B">
      <w:pPr>
        <w:spacing w:after="0" w:line="240" w:lineRule="auto"/>
      </w:pPr>
      <w:r>
        <w:separator/>
      </w:r>
    </w:p>
  </w:footnote>
  <w:footnote w:type="continuationSeparator" w:id="1">
    <w:p w:rsidR="00F22B50" w:rsidRDefault="00F22B50" w:rsidP="004325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50B" w:rsidRDefault="0043250B" w:rsidP="0043250B">
    <w:pPr>
      <w:pBdr>
        <w:bottom w:val="single" w:sz="6" w:space="1" w:color="auto"/>
      </w:pBdr>
      <w:autoSpaceDE w:val="0"/>
      <w:autoSpaceDN w:val="0"/>
      <w:adjustRightInd w:val="0"/>
      <w:spacing w:after="0" w:line="240" w:lineRule="auto"/>
      <w:jc w:val="center"/>
      <w:rPr>
        <w:rFonts w:ascii="Calibri" w:hAnsi="Calibri" w:cs="Calibri"/>
        <w:sz w:val="20"/>
        <w:szCs w:val="20"/>
      </w:rPr>
    </w:pPr>
    <w:r w:rsidRPr="0043250B">
      <w:rPr>
        <w:rFonts w:ascii="Calibri" w:hAnsi="Calibri" w:cs="Calibri"/>
        <w:sz w:val="20"/>
        <w:szCs w:val="20"/>
      </w:rPr>
      <w:t>UFMC1 – Fac ST – Dept. Electronique ‐ M2 AII ‐ Rédaction et de mémoire et bibliographie –</w:t>
    </w:r>
    <w:r>
      <w:rPr>
        <w:rFonts w:ascii="Calibri" w:hAnsi="Calibri" w:cs="Calibri"/>
        <w:sz w:val="20"/>
        <w:szCs w:val="20"/>
      </w:rPr>
      <w:t>H.HamdiOct 2022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65AD4"/>
    <w:rsid w:val="0006515B"/>
    <w:rsid w:val="000E543B"/>
    <w:rsid w:val="002216AB"/>
    <w:rsid w:val="00263566"/>
    <w:rsid w:val="004256C4"/>
    <w:rsid w:val="0043250B"/>
    <w:rsid w:val="0055579F"/>
    <w:rsid w:val="00756D00"/>
    <w:rsid w:val="00765AD4"/>
    <w:rsid w:val="00766CDE"/>
    <w:rsid w:val="007F0764"/>
    <w:rsid w:val="00844A96"/>
    <w:rsid w:val="009E40C5"/>
    <w:rsid w:val="009F2FC7"/>
    <w:rsid w:val="00C1611B"/>
    <w:rsid w:val="00D16124"/>
    <w:rsid w:val="00F22B50"/>
    <w:rsid w:val="00FB2C4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C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250B"/>
    <w:pPr>
      <w:tabs>
        <w:tab w:val="center" w:pos="4536"/>
        <w:tab w:val="right" w:pos="9072"/>
      </w:tabs>
      <w:spacing w:after="0" w:line="240" w:lineRule="auto"/>
    </w:pPr>
  </w:style>
  <w:style w:type="character" w:customStyle="1" w:styleId="En-tteCar">
    <w:name w:val="En-tête Car"/>
    <w:basedOn w:val="Policepardfaut"/>
    <w:link w:val="En-tte"/>
    <w:uiPriority w:val="99"/>
    <w:rsid w:val="0043250B"/>
  </w:style>
  <w:style w:type="paragraph" w:styleId="Pieddepage">
    <w:name w:val="footer"/>
    <w:basedOn w:val="Normal"/>
    <w:link w:val="PieddepageCar"/>
    <w:uiPriority w:val="99"/>
    <w:unhideWhenUsed/>
    <w:rsid w:val="004325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50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1017</Words>
  <Characters>5597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ziri-bleu</dc:creator>
  <cp:keywords/>
  <dc:description/>
  <cp:lastModifiedBy>My laptop</cp:lastModifiedBy>
  <cp:revision>8</cp:revision>
  <dcterms:created xsi:type="dcterms:W3CDTF">2022-10-15T14:24:00Z</dcterms:created>
  <dcterms:modified xsi:type="dcterms:W3CDTF">2024-11-10T09:10:00Z</dcterms:modified>
</cp:coreProperties>
</file>